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295775" cy="1392852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00225" y="895350"/>
                          <a:ext cx="5915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green"/>
                                <w:vertAlign w:val="baseline"/>
                              </w:rPr>
                              <w:t xml:space="preserve">05, 06 Low- hazard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green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green"/>
                                <w:vertAlign w:val="baseline"/>
                              </w:rPr>
                              <w:t xml:space="preserve">Chemical Storage Area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highlight w:val="green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All liquids in this space are either non-hazardous e.g. water, buffers and common media solutions. Have minimal hazards such as an irritant e.g. detergent, or have a very high flash point such as pump oil. 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95775" cy="1392852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5775" cy="139285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highlight w:val="green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4295775" cy="1116721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90875" y="1285875"/>
                          <a:ext cx="4524600" cy="116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green"/>
                                <w:vertAlign w:val="baseline"/>
                              </w:rPr>
                              <w:t xml:space="preserve">05 Empty Bottle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green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green"/>
                                <w:vertAlign w:val="baseline"/>
                              </w:rPr>
                              <w:t xml:space="preserve">Storage Area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highlight w:val="green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All bottles in this area are empty and being saved for re-use.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95775" cy="1116721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95775" cy="111672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