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4E6C5" w14:textId="2C6C84A4" w:rsidR="00411DA3" w:rsidRDefault="00411DA3" w:rsidP="00411DA3">
      <w:pPr>
        <w:jc w:val="center"/>
        <w:rPr>
          <w:b/>
          <w:sz w:val="28"/>
        </w:rPr>
      </w:pPr>
      <w:r w:rsidRPr="0049623D">
        <w:rPr>
          <w:b/>
          <w:sz w:val="32"/>
          <w:szCs w:val="32"/>
        </w:rPr>
        <w:t>Lab-Specific Standard Operating Procedure</w:t>
      </w:r>
      <w:r>
        <w:rPr>
          <w:b/>
          <w:sz w:val="32"/>
          <w:szCs w:val="32"/>
        </w:rPr>
        <w:t xml:space="preserve">s for General Hazard Classes: </w:t>
      </w:r>
      <w:r>
        <w:rPr>
          <w:b/>
          <w:sz w:val="32"/>
          <w:szCs w:val="32"/>
        </w:rPr>
        <w:t xml:space="preserve">Oxidizing </w:t>
      </w:r>
      <w:r>
        <w:rPr>
          <w:b/>
          <w:sz w:val="32"/>
          <w:szCs w:val="32"/>
        </w:rPr>
        <w:t>Liquids &amp; Solids</w:t>
      </w:r>
    </w:p>
    <w:p w14:paraId="7C45D7D3" w14:textId="77777777" w:rsidR="00411DA3" w:rsidRPr="00EA438C" w:rsidRDefault="00411DA3" w:rsidP="00411DA3">
      <w:pPr>
        <w:rPr>
          <w:b/>
          <w:sz w:val="28"/>
        </w:rPr>
      </w:pPr>
      <w:r>
        <w:rPr>
          <w:b/>
          <w:sz w:val="28"/>
        </w:rPr>
        <w:t xml:space="preserve">Introduction </w:t>
      </w:r>
    </w:p>
    <w:p w14:paraId="1E75A5B4" w14:textId="77777777" w:rsidR="00411DA3" w:rsidRPr="00F60929" w:rsidRDefault="00411DA3" w:rsidP="00411DA3">
      <w:pPr>
        <w:rPr>
          <w:sz w:val="24"/>
          <w:szCs w:val="24"/>
        </w:rPr>
      </w:pPr>
      <w:r w:rsidRPr="00F60929">
        <w:rPr>
          <w:sz w:val="24"/>
          <w:szCs w:val="24"/>
        </w:rPr>
        <w:t xml:space="preserve">The hazard class Standard Operating Procedures (SOPs) provided by the Department of Environmental Health and Safety (DEHS) are </w:t>
      </w:r>
      <w:r>
        <w:rPr>
          <w:sz w:val="24"/>
          <w:szCs w:val="24"/>
        </w:rPr>
        <w:t>i</w:t>
      </w:r>
      <w:r w:rsidRPr="00F60929">
        <w:rPr>
          <w:sz w:val="24"/>
          <w:szCs w:val="24"/>
        </w:rPr>
        <w:t xml:space="preserve">ntended </w:t>
      </w:r>
      <w:r>
        <w:rPr>
          <w:sz w:val="24"/>
          <w:szCs w:val="24"/>
        </w:rPr>
        <w:t xml:space="preserve">as a voluntary resource </w:t>
      </w:r>
      <w:r w:rsidRPr="00F60929">
        <w:rPr>
          <w:sz w:val="24"/>
          <w:szCs w:val="24"/>
        </w:rPr>
        <w:t>to provide general guidance on how to work with these materials and to provide a template for laboratories to customize to fit their needs.</w:t>
      </w:r>
    </w:p>
    <w:p w14:paraId="22629B2C" w14:textId="77777777" w:rsidR="00411DA3" w:rsidRDefault="00411DA3" w:rsidP="00411DA3">
      <w:pPr>
        <w:rPr>
          <w:sz w:val="24"/>
          <w:szCs w:val="24"/>
        </w:rPr>
      </w:pPr>
      <w:r w:rsidRPr="00F60929">
        <w:rPr>
          <w:sz w:val="24"/>
          <w:szCs w:val="24"/>
        </w:rPr>
        <w:t xml:space="preserve">These SOPs </w:t>
      </w:r>
      <w:r>
        <w:rPr>
          <w:sz w:val="24"/>
          <w:szCs w:val="24"/>
        </w:rPr>
        <w:t xml:space="preserve">templates </w:t>
      </w:r>
      <w:r w:rsidRPr="00F60929">
        <w:rPr>
          <w:sz w:val="24"/>
          <w:szCs w:val="24"/>
        </w:rPr>
        <w:t xml:space="preserve">should be used for materials with one hazard class </w:t>
      </w:r>
      <w:r>
        <w:rPr>
          <w:sz w:val="24"/>
          <w:szCs w:val="24"/>
        </w:rPr>
        <w:t>and</w:t>
      </w:r>
      <w:r w:rsidRPr="00F60929">
        <w:rPr>
          <w:sz w:val="24"/>
          <w:szCs w:val="24"/>
        </w:rPr>
        <w:t xml:space="preserve"> for procedures </w:t>
      </w:r>
      <w:r>
        <w:rPr>
          <w:sz w:val="24"/>
          <w:szCs w:val="24"/>
        </w:rPr>
        <w:t>and</w:t>
      </w:r>
      <w:r w:rsidRPr="00F60929">
        <w:rPr>
          <w:sz w:val="24"/>
          <w:szCs w:val="24"/>
        </w:rPr>
        <w:t xml:space="preserve"> materials requir</w:t>
      </w:r>
      <w:r>
        <w:rPr>
          <w:sz w:val="24"/>
          <w:szCs w:val="24"/>
        </w:rPr>
        <w:t xml:space="preserve">ing only basic </w:t>
      </w:r>
      <w:r w:rsidRPr="00F60929">
        <w:rPr>
          <w:sz w:val="24"/>
          <w:szCs w:val="24"/>
        </w:rPr>
        <w:t>PPE</w:t>
      </w:r>
      <w:r>
        <w:rPr>
          <w:sz w:val="24"/>
          <w:szCs w:val="24"/>
        </w:rPr>
        <w:t xml:space="preserve"> (i.e., lab coats, goggles, and nitrile gloves). </w:t>
      </w:r>
      <w:r w:rsidRPr="00F60929">
        <w:rPr>
          <w:sz w:val="24"/>
          <w:szCs w:val="24"/>
        </w:rPr>
        <w:t xml:space="preserve"> </w:t>
      </w:r>
    </w:p>
    <w:p w14:paraId="3BE7A3FA" w14:textId="77777777" w:rsidR="00411DA3" w:rsidRPr="00177CBA" w:rsidRDefault="00411DA3" w:rsidP="00411DA3">
      <w:pPr>
        <w:rPr>
          <w:sz w:val="24"/>
          <w:szCs w:val="24"/>
        </w:rPr>
      </w:pPr>
      <w:r>
        <w:rPr>
          <w:sz w:val="24"/>
          <w:szCs w:val="24"/>
        </w:rPr>
        <w:t>For more complex procedures and materials with multiple hazards these templates can be used</w:t>
      </w:r>
      <w:r w:rsidRPr="00F60929">
        <w:rPr>
          <w:sz w:val="24"/>
          <w:szCs w:val="24"/>
        </w:rPr>
        <w:t xml:space="preserve"> as guidance </w:t>
      </w:r>
      <w:r>
        <w:rPr>
          <w:sz w:val="24"/>
          <w:szCs w:val="24"/>
        </w:rPr>
        <w:t>when conducting</w:t>
      </w:r>
      <w:r w:rsidRPr="00F60929">
        <w:rPr>
          <w:sz w:val="24"/>
          <w:szCs w:val="24"/>
        </w:rPr>
        <w:t xml:space="preserve"> your lab’s own risk assessment, </w:t>
      </w:r>
      <w:r>
        <w:rPr>
          <w:sz w:val="24"/>
          <w:szCs w:val="24"/>
        </w:rPr>
        <w:t xml:space="preserve">and writing procedure specific </w:t>
      </w:r>
      <w:r w:rsidRPr="00177CBA">
        <w:rPr>
          <w:sz w:val="24"/>
          <w:szCs w:val="24"/>
        </w:rPr>
        <w:t xml:space="preserve">SOPs.  </w:t>
      </w:r>
    </w:p>
    <w:p w14:paraId="408A821D" w14:textId="77777777" w:rsidR="00411DA3" w:rsidRPr="00F60929" w:rsidRDefault="00411DA3" w:rsidP="00411DA3">
      <w:pPr>
        <w:spacing w:line="240" w:lineRule="auto"/>
        <w:rPr>
          <w:sz w:val="24"/>
          <w:szCs w:val="24"/>
        </w:rPr>
      </w:pPr>
      <w:r w:rsidRPr="00717199">
        <w:rPr>
          <w:sz w:val="24"/>
          <w:szCs w:val="24"/>
        </w:rPr>
        <w:t xml:space="preserve">If you have any questions about writing Standard Operating Procedures, chemical safety, hazard assessment, or any other research safety questions, </w:t>
      </w:r>
      <w:r w:rsidRPr="00ED23D5">
        <w:rPr>
          <w:sz w:val="24"/>
          <w:szCs w:val="24"/>
        </w:rPr>
        <w:t xml:space="preserve">contact your Departmental Safety Officer (DSO) </w:t>
      </w:r>
      <w:r>
        <w:rPr>
          <w:sz w:val="24"/>
          <w:szCs w:val="24"/>
        </w:rPr>
        <w:t>or call your DEHS Research Safety Professional</w:t>
      </w:r>
      <w:r w:rsidRPr="00717199">
        <w:rPr>
          <w:sz w:val="24"/>
          <w:szCs w:val="24"/>
        </w:rPr>
        <w:t xml:space="preserve"> (612) 626-6002. </w:t>
      </w:r>
    </w:p>
    <w:p w14:paraId="1CAE79A4" w14:textId="77777777" w:rsidR="00411DA3" w:rsidRPr="00EA438C" w:rsidRDefault="00411DA3" w:rsidP="00411DA3">
      <w:pPr>
        <w:rPr>
          <w:b/>
          <w:sz w:val="28"/>
        </w:rPr>
      </w:pPr>
      <w:r w:rsidRPr="00EA438C">
        <w:rPr>
          <w:b/>
          <w:sz w:val="28"/>
        </w:rPr>
        <w:t>Instructions</w:t>
      </w:r>
    </w:p>
    <w:p w14:paraId="6C7D39A7" w14:textId="77777777" w:rsidR="00411DA3" w:rsidRPr="00F60929" w:rsidRDefault="00411DA3" w:rsidP="00411DA3">
      <w:pPr>
        <w:rPr>
          <w:sz w:val="24"/>
          <w:szCs w:val="24"/>
        </w:rPr>
      </w:pPr>
      <w:r w:rsidRPr="00F60929">
        <w:rPr>
          <w:sz w:val="24"/>
          <w:szCs w:val="24"/>
        </w:rPr>
        <w:t xml:space="preserve">All text or spaces in yellow are intended for customization by your laboratory. Fill in the information needed, customized for your lab’s accepted practices, materials used, available resources, etc. Consider which materials your lab uses in the hazard class, and what your lab is experienced with and feels comfortable handling. You can also add any specific information, best practices, or other lab-specific information you would like. </w:t>
      </w:r>
    </w:p>
    <w:p w14:paraId="1B19BAE6" w14:textId="77777777" w:rsidR="00411DA3" w:rsidRPr="00F60929" w:rsidRDefault="00411DA3" w:rsidP="00411DA3">
      <w:pPr>
        <w:rPr>
          <w:sz w:val="24"/>
          <w:szCs w:val="24"/>
        </w:rPr>
      </w:pPr>
      <w:r w:rsidRPr="00F60929">
        <w:rPr>
          <w:sz w:val="24"/>
          <w:szCs w:val="24"/>
        </w:rPr>
        <w:t xml:space="preserve">If you are unsure if a specific material or procedure requires its own SOP, contact DEHS for guidance. </w:t>
      </w:r>
    </w:p>
    <w:p w14:paraId="4523CD84" w14:textId="162B51AB" w:rsidR="00411DA3" w:rsidRDefault="00411DA3" w:rsidP="00411DA3">
      <w:pPr>
        <w:rPr>
          <w:sz w:val="24"/>
          <w:szCs w:val="24"/>
        </w:rPr>
      </w:pPr>
      <w:r w:rsidRPr="00F60929">
        <w:rPr>
          <w:sz w:val="24"/>
          <w:szCs w:val="24"/>
        </w:rPr>
        <w:t xml:space="preserve">When complete, ensure the SOP is approved by the lab’s PI and added to your lab’s safety </w:t>
      </w:r>
      <w:r>
        <w:rPr>
          <w:sz w:val="24"/>
          <w:szCs w:val="24"/>
        </w:rPr>
        <w:t xml:space="preserve">manual and annual </w:t>
      </w:r>
      <w:r w:rsidRPr="00F60929">
        <w:rPr>
          <w:sz w:val="24"/>
          <w:szCs w:val="24"/>
        </w:rPr>
        <w:t>training. SOPs should be reviewed with all lab members annually, and should be reviewed and updated at a minimum of every 3 years.</w:t>
      </w:r>
    </w:p>
    <w:p w14:paraId="16E8D55B" w14:textId="77777777" w:rsidR="00411DA3" w:rsidRDefault="00411DA3">
      <w:pPr>
        <w:rPr>
          <w:sz w:val="24"/>
          <w:szCs w:val="24"/>
        </w:rPr>
      </w:pPr>
      <w:r>
        <w:rPr>
          <w:sz w:val="24"/>
          <w:szCs w:val="24"/>
        </w:rPr>
        <w:br w:type="page"/>
      </w:r>
    </w:p>
    <w:p w14:paraId="27321CED" w14:textId="77777777" w:rsidR="00411DA3" w:rsidRPr="0049623D" w:rsidRDefault="00411DA3" w:rsidP="00411DA3">
      <w:pPr>
        <w:jc w:val="center"/>
        <w:rPr>
          <w:b/>
          <w:sz w:val="32"/>
          <w:szCs w:val="32"/>
        </w:rPr>
      </w:pPr>
      <w:r w:rsidRPr="0049623D">
        <w:rPr>
          <w:b/>
          <w:sz w:val="32"/>
          <w:szCs w:val="32"/>
        </w:rPr>
        <w:t>Lab-Specific Standard Operating Procedure</w:t>
      </w:r>
    </w:p>
    <w:p w14:paraId="488C6512" w14:textId="7B96D2F8" w:rsidR="00411DA3" w:rsidRPr="0049623D" w:rsidRDefault="00411DA3" w:rsidP="00411DA3">
      <w:pPr>
        <w:spacing w:after="360"/>
        <w:jc w:val="center"/>
        <w:rPr>
          <w:b/>
          <w:sz w:val="32"/>
          <w:szCs w:val="32"/>
        </w:rPr>
      </w:pPr>
      <w:r w:rsidRPr="0049623D">
        <w:rPr>
          <w:b/>
          <w:sz w:val="32"/>
          <w:szCs w:val="32"/>
        </w:rPr>
        <w:t xml:space="preserve">Safe Use and Handling of </w:t>
      </w:r>
      <w:r>
        <w:rPr>
          <w:b/>
          <w:sz w:val="32"/>
          <w:szCs w:val="32"/>
        </w:rPr>
        <w:t xml:space="preserve">Oxidizing </w:t>
      </w:r>
      <w:r>
        <w:rPr>
          <w:b/>
          <w:sz w:val="32"/>
          <w:szCs w:val="32"/>
        </w:rPr>
        <w:t>Liquids</w:t>
      </w:r>
      <w:r w:rsidRPr="0049623D">
        <w:rPr>
          <w:b/>
          <w:sz w:val="32"/>
          <w:szCs w:val="32"/>
        </w:rPr>
        <w:t xml:space="preserve"> </w:t>
      </w:r>
      <w:r>
        <w:rPr>
          <w:b/>
          <w:sz w:val="32"/>
          <w:szCs w:val="32"/>
        </w:rPr>
        <w:t>&amp; Solids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2255"/>
        <w:gridCol w:w="1980"/>
        <w:gridCol w:w="2690"/>
      </w:tblGrid>
      <w:tr w:rsidR="00411DA3" w:rsidRPr="0049623D" w14:paraId="495B5239" w14:textId="77777777" w:rsidTr="00A10CC4">
        <w:trPr>
          <w:jc w:val="center"/>
        </w:trPr>
        <w:tc>
          <w:tcPr>
            <w:tcW w:w="1705" w:type="dxa"/>
          </w:tcPr>
          <w:p w14:paraId="4D0E4D7D" w14:textId="77777777" w:rsidR="00411DA3" w:rsidRPr="0049623D" w:rsidRDefault="00411DA3" w:rsidP="00A10CC4">
            <w:pPr>
              <w:jc w:val="right"/>
              <w:rPr>
                <w:rFonts w:asciiTheme="minorHAnsi" w:hAnsiTheme="minorHAnsi"/>
                <w:b/>
                <w:i/>
                <w:sz w:val="28"/>
                <w:szCs w:val="28"/>
              </w:rPr>
            </w:pPr>
            <w:r w:rsidRPr="0049623D">
              <w:rPr>
                <w:rFonts w:asciiTheme="minorHAnsi" w:hAnsiTheme="minorHAnsi"/>
                <w:b/>
                <w:i/>
                <w:sz w:val="28"/>
                <w:szCs w:val="28"/>
              </w:rPr>
              <w:t>PI:</w:t>
            </w:r>
          </w:p>
        </w:tc>
        <w:tc>
          <w:tcPr>
            <w:tcW w:w="2255" w:type="dxa"/>
            <w:tcBorders>
              <w:bottom w:val="single" w:sz="4" w:space="0" w:color="auto"/>
            </w:tcBorders>
          </w:tcPr>
          <w:p w14:paraId="38BF881B" w14:textId="77777777" w:rsidR="00411DA3" w:rsidRPr="0049623D" w:rsidRDefault="00411DA3" w:rsidP="00A10CC4">
            <w:pPr>
              <w:rPr>
                <w:rFonts w:asciiTheme="minorHAnsi" w:hAnsiTheme="minorHAnsi"/>
                <w:i/>
                <w:sz w:val="28"/>
                <w:szCs w:val="28"/>
                <w:highlight w:val="yellow"/>
              </w:rPr>
            </w:pPr>
            <w:r>
              <w:rPr>
                <w:rFonts w:asciiTheme="minorHAnsi" w:hAnsiTheme="minorHAnsi"/>
                <w:i/>
                <w:sz w:val="28"/>
                <w:szCs w:val="28"/>
                <w:highlight w:val="yellow"/>
              </w:rPr>
              <w:t>Cooper</w:t>
            </w:r>
            <w:r w:rsidRPr="0049623D">
              <w:rPr>
                <w:rFonts w:asciiTheme="minorHAnsi" w:hAnsiTheme="minorHAnsi"/>
                <w:i/>
                <w:sz w:val="28"/>
                <w:szCs w:val="28"/>
                <w:highlight w:val="yellow"/>
              </w:rPr>
              <w:t xml:space="preserve">, </w:t>
            </w:r>
            <w:r>
              <w:rPr>
                <w:rFonts w:asciiTheme="minorHAnsi" w:hAnsiTheme="minorHAnsi"/>
                <w:i/>
                <w:sz w:val="28"/>
                <w:szCs w:val="28"/>
                <w:highlight w:val="yellow"/>
              </w:rPr>
              <w:t>S</w:t>
            </w:r>
            <w:r w:rsidRPr="0049623D">
              <w:rPr>
                <w:rFonts w:asciiTheme="minorHAnsi" w:hAnsiTheme="minorHAnsi"/>
                <w:i/>
                <w:sz w:val="28"/>
                <w:szCs w:val="28"/>
                <w:highlight w:val="yellow"/>
              </w:rPr>
              <w:t>.</w:t>
            </w:r>
          </w:p>
        </w:tc>
        <w:tc>
          <w:tcPr>
            <w:tcW w:w="1980" w:type="dxa"/>
          </w:tcPr>
          <w:p w14:paraId="26D54987" w14:textId="77777777" w:rsidR="00411DA3" w:rsidRPr="0049623D" w:rsidRDefault="00411DA3" w:rsidP="00A10CC4">
            <w:pPr>
              <w:jc w:val="right"/>
              <w:rPr>
                <w:rFonts w:asciiTheme="minorHAnsi" w:hAnsiTheme="minorHAnsi"/>
                <w:b/>
                <w:i/>
                <w:sz w:val="28"/>
                <w:szCs w:val="28"/>
              </w:rPr>
            </w:pPr>
            <w:r w:rsidRPr="0049623D">
              <w:rPr>
                <w:rFonts w:asciiTheme="minorHAnsi" w:hAnsiTheme="minorHAnsi"/>
                <w:b/>
                <w:i/>
                <w:sz w:val="28"/>
                <w:szCs w:val="28"/>
              </w:rPr>
              <w:t>Lab Location:</w:t>
            </w:r>
          </w:p>
        </w:tc>
        <w:tc>
          <w:tcPr>
            <w:tcW w:w="2690" w:type="dxa"/>
            <w:tcBorders>
              <w:bottom w:val="single" w:sz="4" w:space="0" w:color="auto"/>
            </w:tcBorders>
          </w:tcPr>
          <w:p w14:paraId="5F729216" w14:textId="77777777" w:rsidR="00411DA3" w:rsidRPr="0049623D" w:rsidRDefault="00411DA3" w:rsidP="00A10CC4">
            <w:pPr>
              <w:jc w:val="both"/>
              <w:rPr>
                <w:rFonts w:asciiTheme="minorHAnsi" w:hAnsiTheme="minorHAnsi"/>
                <w:i/>
                <w:sz w:val="28"/>
                <w:szCs w:val="28"/>
                <w:highlight w:val="yellow"/>
              </w:rPr>
            </w:pPr>
            <w:r>
              <w:rPr>
                <w:rFonts w:asciiTheme="minorHAnsi" w:hAnsiTheme="minorHAnsi"/>
                <w:i/>
                <w:sz w:val="28"/>
                <w:szCs w:val="28"/>
                <w:highlight w:val="yellow"/>
              </w:rPr>
              <w:t>Loeb 1709</w:t>
            </w:r>
          </w:p>
        </w:tc>
      </w:tr>
      <w:tr w:rsidR="00411DA3" w:rsidRPr="0049623D" w14:paraId="25079F41" w14:textId="77777777" w:rsidTr="00A10CC4">
        <w:trPr>
          <w:jc w:val="center"/>
        </w:trPr>
        <w:tc>
          <w:tcPr>
            <w:tcW w:w="1705" w:type="dxa"/>
          </w:tcPr>
          <w:p w14:paraId="4F6E34B1" w14:textId="77777777" w:rsidR="00411DA3" w:rsidRPr="0049623D" w:rsidRDefault="00411DA3" w:rsidP="00A10CC4">
            <w:pPr>
              <w:jc w:val="right"/>
              <w:rPr>
                <w:rFonts w:asciiTheme="minorHAnsi" w:hAnsiTheme="minorHAnsi"/>
                <w:b/>
                <w:i/>
                <w:sz w:val="28"/>
                <w:szCs w:val="28"/>
              </w:rPr>
            </w:pPr>
            <w:r w:rsidRPr="0049623D">
              <w:rPr>
                <w:rFonts w:asciiTheme="minorHAnsi" w:hAnsiTheme="minorHAnsi"/>
                <w:b/>
                <w:i/>
                <w:sz w:val="28"/>
                <w:szCs w:val="28"/>
              </w:rPr>
              <w:t>Issue Date:</w:t>
            </w:r>
          </w:p>
        </w:tc>
        <w:tc>
          <w:tcPr>
            <w:tcW w:w="2255" w:type="dxa"/>
            <w:tcBorders>
              <w:top w:val="single" w:sz="4" w:space="0" w:color="auto"/>
              <w:bottom w:val="single" w:sz="4" w:space="0" w:color="auto"/>
            </w:tcBorders>
          </w:tcPr>
          <w:p w14:paraId="51E837ED" w14:textId="77777777" w:rsidR="00411DA3" w:rsidRPr="0049623D" w:rsidRDefault="00411DA3" w:rsidP="00A10CC4">
            <w:pPr>
              <w:rPr>
                <w:rFonts w:asciiTheme="minorHAnsi" w:hAnsiTheme="minorHAnsi"/>
                <w:i/>
                <w:sz w:val="28"/>
                <w:szCs w:val="28"/>
                <w:highlight w:val="yellow"/>
              </w:rPr>
            </w:pPr>
            <w:r w:rsidRPr="0049623D">
              <w:rPr>
                <w:rFonts w:asciiTheme="minorHAnsi" w:hAnsiTheme="minorHAnsi"/>
                <w:i/>
                <w:sz w:val="28"/>
                <w:szCs w:val="28"/>
                <w:highlight w:val="yellow"/>
              </w:rPr>
              <w:t>9/12/2016</w:t>
            </w:r>
          </w:p>
        </w:tc>
        <w:tc>
          <w:tcPr>
            <w:tcW w:w="1980" w:type="dxa"/>
          </w:tcPr>
          <w:p w14:paraId="54B65FD4" w14:textId="77777777" w:rsidR="00411DA3" w:rsidRPr="0049623D" w:rsidRDefault="00411DA3" w:rsidP="00A10CC4">
            <w:pPr>
              <w:jc w:val="right"/>
              <w:rPr>
                <w:rFonts w:asciiTheme="minorHAnsi" w:hAnsiTheme="minorHAnsi"/>
                <w:b/>
                <w:i/>
                <w:sz w:val="28"/>
                <w:szCs w:val="28"/>
              </w:rPr>
            </w:pPr>
            <w:r w:rsidRPr="0049623D">
              <w:rPr>
                <w:rFonts w:asciiTheme="minorHAnsi" w:hAnsiTheme="minorHAnsi"/>
                <w:b/>
                <w:i/>
                <w:sz w:val="28"/>
                <w:szCs w:val="28"/>
              </w:rPr>
              <w:t>Revision Date:</w:t>
            </w:r>
          </w:p>
        </w:tc>
        <w:tc>
          <w:tcPr>
            <w:tcW w:w="2690" w:type="dxa"/>
            <w:tcBorders>
              <w:top w:val="single" w:sz="4" w:space="0" w:color="auto"/>
              <w:bottom w:val="single" w:sz="4" w:space="0" w:color="auto"/>
            </w:tcBorders>
          </w:tcPr>
          <w:p w14:paraId="738734F5" w14:textId="77777777" w:rsidR="00411DA3" w:rsidRPr="0049623D" w:rsidRDefault="00411DA3" w:rsidP="00A10CC4">
            <w:pPr>
              <w:jc w:val="both"/>
              <w:rPr>
                <w:rFonts w:asciiTheme="minorHAnsi" w:hAnsiTheme="minorHAnsi"/>
                <w:i/>
                <w:sz w:val="28"/>
                <w:szCs w:val="28"/>
                <w:highlight w:val="yellow"/>
              </w:rPr>
            </w:pPr>
            <w:r>
              <w:rPr>
                <w:rFonts w:asciiTheme="minorHAnsi" w:hAnsiTheme="minorHAnsi"/>
                <w:i/>
                <w:sz w:val="28"/>
                <w:szCs w:val="28"/>
                <w:highlight w:val="yellow"/>
              </w:rPr>
              <w:t>9/12/2019</w:t>
            </w:r>
          </w:p>
        </w:tc>
      </w:tr>
      <w:tr w:rsidR="00411DA3" w:rsidRPr="0049623D" w14:paraId="7A9A8562" w14:textId="77777777" w:rsidTr="00A10CC4">
        <w:trPr>
          <w:jc w:val="center"/>
        </w:trPr>
        <w:tc>
          <w:tcPr>
            <w:tcW w:w="1705" w:type="dxa"/>
          </w:tcPr>
          <w:p w14:paraId="30754B05" w14:textId="77777777" w:rsidR="00411DA3" w:rsidRPr="0049623D" w:rsidRDefault="00411DA3" w:rsidP="00A10CC4">
            <w:pPr>
              <w:jc w:val="right"/>
              <w:rPr>
                <w:rFonts w:asciiTheme="minorHAnsi" w:hAnsiTheme="minorHAnsi"/>
                <w:b/>
                <w:i/>
                <w:sz w:val="28"/>
                <w:szCs w:val="28"/>
              </w:rPr>
            </w:pPr>
            <w:r w:rsidRPr="0049623D">
              <w:rPr>
                <w:rFonts w:asciiTheme="minorHAnsi" w:hAnsiTheme="minorHAnsi"/>
                <w:b/>
                <w:i/>
                <w:sz w:val="28"/>
                <w:szCs w:val="28"/>
              </w:rPr>
              <w:t>Prepared by:</w:t>
            </w:r>
          </w:p>
        </w:tc>
        <w:tc>
          <w:tcPr>
            <w:tcW w:w="2255" w:type="dxa"/>
            <w:tcBorders>
              <w:top w:val="single" w:sz="4" w:space="0" w:color="auto"/>
              <w:bottom w:val="single" w:sz="4" w:space="0" w:color="auto"/>
            </w:tcBorders>
          </w:tcPr>
          <w:p w14:paraId="1ECBC075" w14:textId="77777777" w:rsidR="00411DA3" w:rsidRPr="0049623D" w:rsidRDefault="00411DA3" w:rsidP="00A10CC4">
            <w:pPr>
              <w:rPr>
                <w:rFonts w:asciiTheme="minorHAnsi" w:hAnsiTheme="minorHAnsi"/>
                <w:i/>
                <w:sz w:val="28"/>
                <w:szCs w:val="28"/>
                <w:highlight w:val="yellow"/>
              </w:rPr>
            </w:pPr>
            <w:r>
              <w:rPr>
                <w:rFonts w:asciiTheme="minorHAnsi" w:hAnsiTheme="minorHAnsi"/>
                <w:i/>
                <w:sz w:val="28"/>
                <w:szCs w:val="28"/>
                <w:highlight w:val="yellow"/>
              </w:rPr>
              <w:t>Hofstadter</w:t>
            </w:r>
            <w:r w:rsidRPr="0049623D">
              <w:rPr>
                <w:rFonts w:asciiTheme="minorHAnsi" w:hAnsiTheme="minorHAnsi"/>
                <w:i/>
                <w:sz w:val="28"/>
                <w:szCs w:val="28"/>
                <w:highlight w:val="yellow"/>
              </w:rPr>
              <w:t>,</w:t>
            </w:r>
            <w:r>
              <w:rPr>
                <w:rFonts w:asciiTheme="minorHAnsi" w:hAnsiTheme="minorHAnsi"/>
                <w:i/>
                <w:sz w:val="28"/>
                <w:szCs w:val="28"/>
                <w:highlight w:val="yellow"/>
              </w:rPr>
              <w:t xml:space="preserve"> L</w:t>
            </w:r>
            <w:r w:rsidRPr="0049623D">
              <w:rPr>
                <w:rFonts w:asciiTheme="minorHAnsi" w:hAnsiTheme="minorHAnsi"/>
                <w:i/>
                <w:sz w:val="28"/>
                <w:szCs w:val="28"/>
                <w:highlight w:val="yellow"/>
              </w:rPr>
              <w:t>.</w:t>
            </w:r>
          </w:p>
        </w:tc>
        <w:tc>
          <w:tcPr>
            <w:tcW w:w="1980" w:type="dxa"/>
          </w:tcPr>
          <w:p w14:paraId="09A3007B" w14:textId="77777777" w:rsidR="00411DA3" w:rsidRPr="0049623D" w:rsidRDefault="00411DA3" w:rsidP="00A10CC4">
            <w:pPr>
              <w:jc w:val="right"/>
              <w:rPr>
                <w:rFonts w:asciiTheme="minorHAnsi" w:hAnsiTheme="minorHAnsi"/>
                <w:b/>
                <w:i/>
                <w:sz w:val="28"/>
                <w:szCs w:val="28"/>
              </w:rPr>
            </w:pPr>
            <w:r w:rsidRPr="0049623D">
              <w:rPr>
                <w:rFonts w:asciiTheme="minorHAnsi" w:hAnsiTheme="minorHAnsi"/>
                <w:b/>
                <w:i/>
                <w:sz w:val="28"/>
                <w:szCs w:val="28"/>
              </w:rPr>
              <w:t>Approved by:</w:t>
            </w:r>
          </w:p>
        </w:tc>
        <w:tc>
          <w:tcPr>
            <w:tcW w:w="2690" w:type="dxa"/>
            <w:tcBorders>
              <w:top w:val="single" w:sz="4" w:space="0" w:color="auto"/>
              <w:bottom w:val="single" w:sz="4" w:space="0" w:color="auto"/>
            </w:tcBorders>
          </w:tcPr>
          <w:p w14:paraId="4D561618" w14:textId="77777777" w:rsidR="00411DA3" w:rsidRPr="0049623D" w:rsidRDefault="00411DA3" w:rsidP="00A10CC4">
            <w:pPr>
              <w:jc w:val="both"/>
              <w:rPr>
                <w:rFonts w:asciiTheme="minorHAnsi" w:hAnsiTheme="minorHAnsi"/>
                <w:i/>
                <w:sz w:val="28"/>
                <w:szCs w:val="28"/>
                <w:highlight w:val="yellow"/>
              </w:rPr>
            </w:pPr>
            <w:r>
              <w:rPr>
                <w:rFonts w:asciiTheme="minorHAnsi" w:hAnsiTheme="minorHAnsi"/>
                <w:i/>
                <w:sz w:val="28"/>
                <w:szCs w:val="28"/>
                <w:highlight w:val="yellow"/>
              </w:rPr>
              <w:t>Penny</w:t>
            </w:r>
          </w:p>
        </w:tc>
      </w:tr>
    </w:tbl>
    <w:p w14:paraId="13F81E46" w14:textId="77777777" w:rsidR="00411DA3" w:rsidRDefault="00411DA3" w:rsidP="002E0279">
      <w:pPr>
        <w:rPr>
          <w:b/>
          <w:i/>
          <w:sz w:val="28"/>
          <w:szCs w:val="32"/>
        </w:rPr>
      </w:pPr>
    </w:p>
    <w:p w14:paraId="2A72F5AA" w14:textId="056F2557" w:rsidR="002E0279" w:rsidRPr="0049623D" w:rsidRDefault="005518CA" w:rsidP="002E0279">
      <w:pPr>
        <w:rPr>
          <w:b/>
          <w:i/>
          <w:sz w:val="28"/>
          <w:szCs w:val="32"/>
        </w:rPr>
      </w:pPr>
      <w:r>
        <w:rPr>
          <w:noProof/>
          <w:sz w:val="24"/>
          <w:szCs w:val="32"/>
        </w:rPr>
        <w:drawing>
          <wp:anchor distT="0" distB="0" distL="114300" distR="114300" simplePos="0" relativeHeight="251657215" behindDoc="0" locked="0" layoutInCell="1" allowOverlap="1" wp14:anchorId="3F6782C0" wp14:editId="06C07223">
            <wp:simplePos x="0" y="0"/>
            <wp:positionH relativeFrom="column">
              <wp:posOffset>4933950</wp:posOffset>
            </wp:positionH>
            <wp:positionV relativeFrom="paragraph">
              <wp:posOffset>238125</wp:posOffset>
            </wp:positionV>
            <wp:extent cx="885825" cy="885825"/>
            <wp:effectExtent l="0" t="0" r="9525" b="9525"/>
            <wp:wrapSquare wrapText="bothSides"/>
            <wp:docPr id="2" name="Picture 2" descr="U:\UHS All\Lab &amp; Research Safety\6 Staff Folders\Jodi\Oxidizer SOP\GHS Oxidizer pict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HS All\Lab &amp; Research Safety\6 Staff Folders\Jodi\Oxidizer SOP\GHS Oxidizer pictogra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E0279" w:rsidRPr="0049623D">
        <w:rPr>
          <w:b/>
          <w:i/>
          <w:sz w:val="28"/>
          <w:szCs w:val="32"/>
        </w:rPr>
        <w:t>Hazard Identification</w:t>
      </w:r>
    </w:p>
    <w:p w14:paraId="17473967" w14:textId="439DA643" w:rsidR="00252EDC" w:rsidRPr="0049623D" w:rsidRDefault="00CB31A0" w:rsidP="002E0279">
      <w:pPr>
        <w:rPr>
          <w:sz w:val="24"/>
          <w:szCs w:val="32"/>
        </w:rPr>
      </w:pPr>
      <w:r>
        <w:rPr>
          <w:sz w:val="24"/>
          <w:szCs w:val="32"/>
        </w:rPr>
        <w:t>Oxidizing material</w:t>
      </w:r>
      <w:r w:rsidR="00252EDC" w:rsidRPr="0049623D">
        <w:rPr>
          <w:sz w:val="24"/>
          <w:szCs w:val="32"/>
        </w:rPr>
        <w:t xml:space="preserve"> containers must be labeled at a minimum with the name of the contents and the word “</w:t>
      </w:r>
      <w:r w:rsidR="00592FB1">
        <w:rPr>
          <w:sz w:val="24"/>
          <w:szCs w:val="32"/>
        </w:rPr>
        <w:t>Oxidizer</w:t>
      </w:r>
      <w:r w:rsidR="00252EDC" w:rsidRPr="0049623D">
        <w:rPr>
          <w:sz w:val="24"/>
          <w:szCs w:val="32"/>
        </w:rPr>
        <w:t xml:space="preserve">” or the GHS pictogram for </w:t>
      </w:r>
      <w:r w:rsidR="00592FB1">
        <w:rPr>
          <w:sz w:val="24"/>
          <w:szCs w:val="32"/>
        </w:rPr>
        <w:t>oxidizing</w:t>
      </w:r>
      <w:r w:rsidR="00252EDC" w:rsidRPr="0049623D">
        <w:rPr>
          <w:sz w:val="24"/>
          <w:szCs w:val="32"/>
        </w:rPr>
        <w:t xml:space="preserve"> materials, pictured to the right. Information on the hazards of specific materials can be found in their SDS.</w:t>
      </w:r>
    </w:p>
    <w:p w14:paraId="16F2E531" w14:textId="28371452" w:rsidR="00411DA3" w:rsidRPr="0049623D" w:rsidRDefault="00411DA3" w:rsidP="00411DA3">
      <w:pPr>
        <w:rPr>
          <w:sz w:val="24"/>
          <w:szCs w:val="32"/>
        </w:rPr>
      </w:pPr>
      <w:r w:rsidRPr="0049623D">
        <w:rPr>
          <w:sz w:val="24"/>
          <w:szCs w:val="32"/>
        </w:rPr>
        <w:t xml:space="preserve">Examples of </w:t>
      </w:r>
      <w:r>
        <w:rPr>
          <w:sz w:val="24"/>
          <w:szCs w:val="32"/>
        </w:rPr>
        <w:t>oxidizers in u</w:t>
      </w:r>
      <w:r w:rsidRPr="0049623D">
        <w:rPr>
          <w:sz w:val="24"/>
          <w:szCs w:val="32"/>
        </w:rPr>
        <w:t xml:space="preserve">se in the </w:t>
      </w:r>
      <w:r>
        <w:rPr>
          <w:sz w:val="24"/>
          <w:szCs w:val="32"/>
          <w:highlight w:val="yellow"/>
        </w:rPr>
        <w:t>Cooper lab</w:t>
      </w:r>
      <w:r w:rsidRPr="0049623D">
        <w:rPr>
          <w:sz w:val="24"/>
          <w:szCs w:val="32"/>
        </w:rPr>
        <w:t xml:space="preserve"> include:</w:t>
      </w:r>
    </w:p>
    <w:p w14:paraId="7F4F37B4" w14:textId="77777777" w:rsidR="00411DA3" w:rsidRPr="0049623D" w:rsidRDefault="00411DA3" w:rsidP="00411DA3">
      <w:pPr>
        <w:pStyle w:val="ListParagraph"/>
        <w:numPr>
          <w:ilvl w:val="0"/>
          <w:numId w:val="1"/>
        </w:numPr>
        <w:rPr>
          <w:sz w:val="24"/>
          <w:szCs w:val="32"/>
          <w:highlight w:val="yellow"/>
        </w:rPr>
      </w:pPr>
      <w:r w:rsidRPr="0049623D">
        <w:rPr>
          <w:sz w:val="24"/>
          <w:szCs w:val="32"/>
          <w:highlight w:val="yellow"/>
        </w:rPr>
        <w:t>Example 1</w:t>
      </w:r>
    </w:p>
    <w:p w14:paraId="1D18E95B" w14:textId="77777777" w:rsidR="00411DA3" w:rsidRPr="0049623D" w:rsidRDefault="00411DA3" w:rsidP="00411DA3">
      <w:pPr>
        <w:pStyle w:val="ListParagraph"/>
        <w:numPr>
          <w:ilvl w:val="0"/>
          <w:numId w:val="1"/>
        </w:numPr>
        <w:rPr>
          <w:sz w:val="24"/>
          <w:szCs w:val="32"/>
          <w:highlight w:val="yellow"/>
        </w:rPr>
      </w:pPr>
      <w:r w:rsidRPr="0049623D">
        <w:rPr>
          <w:sz w:val="24"/>
          <w:szCs w:val="32"/>
          <w:highlight w:val="yellow"/>
        </w:rPr>
        <w:t>Example 2</w:t>
      </w:r>
    </w:p>
    <w:p w14:paraId="5FBD105D" w14:textId="77777777" w:rsidR="00411DA3" w:rsidRPr="0049623D" w:rsidRDefault="00411DA3" w:rsidP="00411DA3">
      <w:pPr>
        <w:pStyle w:val="ListParagraph"/>
        <w:numPr>
          <w:ilvl w:val="0"/>
          <w:numId w:val="1"/>
        </w:numPr>
        <w:rPr>
          <w:sz w:val="24"/>
          <w:szCs w:val="32"/>
          <w:highlight w:val="yellow"/>
        </w:rPr>
      </w:pPr>
      <w:r w:rsidRPr="0049623D">
        <w:rPr>
          <w:sz w:val="24"/>
          <w:szCs w:val="32"/>
          <w:highlight w:val="yellow"/>
        </w:rPr>
        <w:t>Example 3</w:t>
      </w:r>
    </w:p>
    <w:p w14:paraId="2BDD9422" w14:textId="77777777" w:rsidR="00703B1B" w:rsidRDefault="00703B1B" w:rsidP="002E0279">
      <w:pPr>
        <w:rPr>
          <w:b/>
          <w:i/>
          <w:sz w:val="28"/>
          <w:szCs w:val="32"/>
        </w:rPr>
      </w:pPr>
    </w:p>
    <w:p w14:paraId="28D3A3C5" w14:textId="17B07CE6" w:rsidR="002E0279" w:rsidRPr="0049623D" w:rsidRDefault="002E0279" w:rsidP="002E0279">
      <w:pPr>
        <w:rPr>
          <w:b/>
          <w:i/>
          <w:sz w:val="28"/>
          <w:szCs w:val="32"/>
        </w:rPr>
      </w:pPr>
      <w:r w:rsidRPr="0049623D">
        <w:rPr>
          <w:b/>
          <w:i/>
          <w:sz w:val="28"/>
          <w:szCs w:val="32"/>
        </w:rPr>
        <w:t>Risk Assessment</w:t>
      </w:r>
    </w:p>
    <w:p w14:paraId="0B2BAD53" w14:textId="77777777" w:rsidR="00211378" w:rsidRDefault="00211378" w:rsidP="00211378">
      <w:pPr>
        <w:rPr>
          <w:sz w:val="24"/>
          <w:szCs w:val="32"/>
        </w:rPr>
      </w:pPr>
      <w:r w:rsidRPr="0049623D">
        <w:rPr>
          <w:sz w:val="24"/>
          <w:szCs w:val="32"/>
        </w:rPr>
        <w:t xml:space="preserve">The primary risk of working with </w:t>
      </w:r>
      <w:r>
        <w:rPr>
          <w:sz w:val="24"/>
          <w:szCs w:val="32"/>
        </w:rPr>
        <w:t xml:space="preserve">oxidizing materials is they can intensify combustion of material by providing oxygen to a fire. Oxidizers are broken down into four </w:t>
      </w:r>
      <w:r w:rsidRPr="007A1C88">
        <w:rPr>
          <w:sz w:val="24"/>
          <w:szCs w:val="32"/>
        </w:rPr>
        <w:t>NFPA</w:t>
      </w:r>
      <w:r>
        <w:rPr>
          <w:sz w:val="24"/>
          <w:szCs w:val="32"/>
        </w:rPr>
        <w:t xml:space="preserve"> categories based on the risk presented when mixed with other material. For this document, only NFPA categories will be referenced, not GHS.</w:t>
      </w:r>
    </w:p>
    <w:p w14:paraId="25A502C6" w14:textId="46D3B429" w:rsidR="00211378" w:rsidRDefault="00211378" w:rsidP="00211378">
      <w:pPr>
        <w:rPr>
          <w:sz w:val="24"/>
          <w:szCs w:val="32"/>
        </w:rPr>
      </w:pPr>
      <w:r>
        <w:rPr>
          <w:sz w:val="24"/>
          <w:szCs w:val="32"/>
        </w:rPr>
        <w:t xml:space="preserve">You may </w:t>
      </w:r>
      <w:r w:rsidR="00367BAD">
        <w:rPr>
          <w:sz w:val="24"/>
          <w:szCs w:val="32"/>
        </w:rPr>
        <w:t xml:space="preserve">use this template for class 1, 2 and 3 oxidizers.  </w:t>
      </w:r>
      <w:r>
        <w:rPr>
          <w:sz w:val="24"/>
          <w:szCs w:val="32"/>
        </w:rPr>
        <w:t xml:space="preserve">If you are using a Class 4 oxidizer, a material-specific SOP must be developed. </w:t>
      </w:r>
    </w:p>
    <w:tbl>
      <w:tblPr>
        <w:tblStyle w:val="TableGrid"/>
        <w:tblW w:w="5000" w:type="pct"/>
        <w:tblLook w:val="04A0" w:firstRow="1" w:lastRow="0" w:firstColumn="1" w:lastColumn="0" w:noHBand="0" w:noVBand="1"/>
      </w:tblPr>
      <w:tblGrid>
        <w:gridCol w:w="1335"/>
        <w:gridCol w:w="8015"/>
      </w:tblGrid>
      <w:tr w:rsidR="00211378" w14:paraId="4AE8A35F" w14:textId="77777777" w:rsidTr="00DD660C">
        <w:tc>
          <w:tcPr>
            <w:tcW w:w="714" w:type="pct"/>
          </w:tcPr>
          <w:p w14:paraId="4668338E" w14:textId="77777777" w:rsidR="00211378" w:rsidRPr="0074503B" w:rsidRDefault="00211378" w:rsidP="00DD660C">
            <w:pPr>
              <w:tabs>
                <w:tab w:val="left" w:pos="2070"/>
              </w:tabs>
              <w:jc w:val="center"/>
              <w:rPr>
                <w:rFonts w:asciiTheme="minorHAnsi" w:hAnsiTheme="minorHAnsi"/>
                <w:b/>
                <w:sz w:val="24"/>
                <w:szCs w:val="32"/>
              </w:rPr>
            </w:pPr>
            <w:r w:rsidRPr="0074503B">
              <w:rPr>
                <w:rFonts w:asciiTheme="minorHAnsi" w:hAnsiTheme="minorHAnsi"/>
                <w:b/>
                <w:sz w:val="24"/>
                <w:szCs w:val="32"/>
              </w:rPr>
              <w:t>NFPA Class</w:t>
            </w:r>
          </w:p>
        </w:tc>
        <w:tc>
          <w:tcPr>
            <w:tcW w:w="4286" w:type="pct"/>
          </w:tcPr>
          <w:p w14:paraId="268EAF52" w14:textId="77777777" w:rsidR="00211378" w:rsidRPr="0074503B" w:rsidRDefault="00211378" w:rsidP="00DD660C">
            <w:pPr>
              <w:jc w:val="center"/>
              <w:rPr>
                <w:rFonts w:asciiTheme="minorHAnsi" w:hAnsiTheme="minorHAnsi"/>
                <w:b/>
                <w:sz w:val="24"/>
                <w:szCs w:val="32"/>
              </w:rPr>
            </w:pPr>
            <w:r>
              <w:rPr>
                <w:rFonts w:asciiTheme="minorHAnsi" w:hAnsiTheme="minorHAnsi"/>
                <w:b/>
                <w:sz w:val="24"/>
                <w:szCs w:val="32"/>
              </w:rPr>
              <w:t>Definition</w:t>
            </w:r>
          </w:p>
        </w:tc>
      </w:tr>
      <w:tr w:rsidR="00211378" w14:paraId="5E7D10A2" w14:textId="77777777" w:rsidTr="00DD660C">
        <w:tc>
          <w:tcPr>
            <w:tcW w:w="714" w:type="pct"/>
            <w:vAlign w:val="center"/>
          </w:tcPr>
          <w:p w14:paraId="59D05165" w14:textId="77777777" w:rsidR="00211378" w:rsidRPr="0074503B" w:rsidRDefault="00211378" w:rsidP="00DD660C">
            <w:pPr>
              <w:jc w:val="center"/>
              <w:rPr>
                <w:rFonts w:asciiTheme="minorHAnsi" w:hAnsiTheme="minorHAnsi"/>
                <w:sz w:val="24"/>
                <w:szCs w:val="32"/>
              </w:rPr>
            </w:pPr>
            <w:r>
              <w:rPr>
                <w:rFonts w:asciiTheme="minorHAnsi" w:hAnsiTheme="minorHAnsi"/>
                <w:sz w:val="24"/>
                <w:szCs w:val="32"/>
              </w:rPr>
              <w:t>1</w:t>
            </w:r>
          </w:p>
        </w:tc>
        <w:tc>
          <w:tcPr>
            <w:tcW w:w="4286" w:type="pct"/>
            <w:vAlign w:val="center"/>
          </w:tcPr>
          <w:p w14:paraId="27CF8063" w14:textId="77777777" w:rsidR="00211378" w:rsidRPr="0074503B" w:rsidRDefault="00211378" w:rsidP="00DD660C">
            <w:pPr>
              <w:jc w:val="center"/>
              <w:rPr>
                <w:rFonts w:asciiTheme="minorHAnsi" w:hAnsiTheme="minorHAnsi"/>
                <w:sz w:val="24"/>
                <w:szCs w:val="32"/>
              </w:rPr>
            </w:pPr>
            <w:r w:rsidRPr="00CD4E84">
              <w:rPr>
                <w:rFonts w:asciiTheme="minorHAnsi" w:eastAsiaTheme="minorHAnsi" w:hAnsiTheme="minorHAnsi" w:cstheme="minorBidi"/>
                <w:sz w:val="24"/>
                <w:szCs w:val="32"/>
              </w:rPr>
              <w:t>An oxidizer that does not moderately increase th</w:t>
            </w:r>
            <w:r>
              <w:rPr>
                <w:rFonts w:asciiTheme="minorHAnsi" w:eastAsiaTheme="minorHAnsi" w:hAnsiTheme="minorHAnsi" w:cstheme="minorBidi"/>
                <w:sz w:val="24"/>
                <w:szCs w:val="32"/>
              </w:rPr>
              <w:t>e burn rate of another material</w:t>
            </w:r>
          </w:p>
        </w:tc>
      </w:tr>
      <w:tr w:rsidR="00211378" w14:paraId="2EBFC659" w14:textId="77777777" w:rsidTr="00DD660C">
        <w:tc>
          <w:tcPr>
            <w:tcW w:w="714" w:type="pct"/>
            <w:vAlign w:val="center"/>
          </w:tcPr>
          <w:p w14:paraId="7EF3F94E" w14:textId="77777777" w:rsidR="00211378" w:rsidRPr="0074503B" w:rsidRDefault="00211378" w:rsidP="00DD660C">
            <w:pPr>
              <w:jc w:val="center"/>
              <w:rPr>
                <w:rFonts w:asciiTheme="minorHAnsi" w:hAnsiTheme="minorHAnsi"/>
                <w:sz w:val="24"/>
                <w:szCs w:val="32"/>
              </w:rPr>
            </w:pPr>
            <w:r>
              <w:rPr>
                <w:rFonts w:asciiTheme="minorHAnsi" w:hAnsiTheme="minorHAnsi"/>
                <w:sz w:val="24"/>
                <w:szCs w:val="32"/>
              </w:rPr>
              <w:t>2</w:t>
            </w:r>
          </w:p>
        </w:tc>
        <w:tc>
          <w:tcPr>
            <w:tcW w:w="4286" w:type="pct"/>
            <w:vAlign w:val="center"/>
          </w:tcPr>
          <w:p w14:paraId="70B01919" w14:textId="77777777" w:rsidR="00211378" w:rsidRPr="0074503B" w:rsidRDefault="00211378" w:rsidP="00DD660C">
            <w:pPr>
              <w:jc w:val="center"/>
              <w:rPr>
                <w:rFonts w:asciiTheme="minorHAnsi" w:hAnsiTheme="minorHAnsi"/>
                <w:sz w:val="24"/>
                <w:szCs w:val="32"/>
              </w:rPr>
            </w:pPr>
            <w:r w:rsidRPr="00CD4E84">
              <w:rPr>
                <w:rFonts w:asciiTheme="minorHAnsi" w:eastAsiaTheme="minorHAnsi" w:hAnsiTheme="minorHAnsi" w:cstheme="minorBidi"/>
                <w:sz w:val="24"/>
                <w:szCs w:val="32"/>
              </w:rPr>
              <w:t>An oxidizer that will mo</w:t>
            </w:r>
            <w:r>
              <w:rPr>
                <w:rFonts w:asciiTheme="minorHAnsi" w:eastAsiaTheme="minorHAnsi" w:hAnsiTheme="minorHAnsi" w:cstheme="minorBidi"/>
                <w:sz w:val="24"/>
                <w:szCs w:val="32"/>
              </w:rPr>
              <w:t>derately increase the burn rate</w:t>
            </w:r>
          </w:p>
        </w:tc>
      </w:tr>
      <w:tr w:rsidR="00211378" w14:paraId="0AC48D35" w14:textId="77777777" w:rsidTr="00DD660C">
        <w:tc>
          <w:tcPr>
            <w:tcW w:w="714" w:type="pct"/>
            <w:vAlign w:val="center"/>
          </w:tcPr>
          <w:p w14:paraId="0E291E53" w14:textId="77777777" w:rsidR="00211378" w:rsidRPr="0074503B" w:rsidRDefault="00211378" w:rsidP="00DD660C">
            <w:pPr>
              <w:jc w:val="center"/>
              <w:rPr>
                <w:rFonts w:asciiTheme="minorHAnsi" w:hAnsiTheme="minorHAnsi"/>
                <w:sz w:val="24"/>
                <w:szCs w:val="32"/>
              </w:rPr>
            </w:pPr>
            <w:r>
              <w:rPr>
                <w:rFonts w:asciiTheme="minorHAnsi" w:hAnsiTheme="minorHAnsi"/>
                <w:sz w:val="24"/>
                <w:szCs w:val="32"/>
              </w:rPr>
              <w:t>3</w:t>
            </w:r>
          </w:p>
        </w:tc>
        <w:tc>
          <w:tcPr>
            <w:tcW w:w="4286" w:type="pct"/>
            <w:vAlign w:val="center"/>
          </w:tcPr>
          <w:p w14:paraId="5A7D0F65" w14:textId="77777777" w:rsidR="00211378" w:rsidRPr="0074503B" w:rsidRDefault="00211378" w:rsidP="00DD660C">
            <w:pPr>
              <w:pStyle w:val="Bullet"/>
              <w:ind w:left="0" w:firstLine="0"/>
              <w:jc w:val="center"/>
              <w:rPr>
                <w:rFonts w:asciiTheme="minorHAnsi" w:hAnsiTheme="minorHAnsi"/>
                <w:sz w:val="24"/>
                <w:szCs w:val="32"/>
              </w:rPr>
            </w:pPr>
            <w:r w:rsidRPr="0074503B">
              <w:rPr>
                <w:rFonts w:asciiTheme="minorHAnsi" w:hAnsiTheme="minorHAnsi"/>
                <w:sz w:val="24"/>
                <w:szCs w:val="32"/>
              </w:rPr>
              <w:t>An oxidizer that will cause a severe increase in burn rate.</w:t>
            </w:r>
          </w:p>
        </w:tc>
      </w:tr>
      <w:tr w:rsidR="00211378" w14:paraId="6A49B98D" w14:textId="77777777" w:rsidTr="00DD660C">
        <w:tc>
          <w:tcPr>
            <w:tcW w:w="714" w:type="pct"/>
            <w:vAlign w:val="center"/>
          </w:tcPr>
          <w:p w14:paraId="3169D2DE" w14:textId="77777777" w:rsidR="00211378" w:rsidRPr="0074503B" w:rsidRDefault="00211378" w:rsidP="00DD660C">
            <w:pPr>
              <w:jc w:val="center"/>
              <w:rPr>
                <w:rFonts w:asciiTheme="minorHAnsi" w:hAnsiTheme="minorHAnsi"/>
                <w:sz w:val="24"/>
                <w:szCs w:val="32"/>
              </w:rPr>
            </w:pPr>
            <w:r>
              <w:rPr>
                <w:rFonts w:asciiTheme="minorHAnsi" w:hAnsiTheme="minorHAnsi"/>
                <w:sz w:val="24"/>
                <w:szCs w:val="32"/>
              </w:rPr>
              <w:t>4</w:t>
            </w:r>
          </w:p>
        </w:tc>
        <w:tc>
          <w:tcPr>
            <w:tcW w:w="4286" w:type="pct"/>
            <w:vAlign w:val="center"/>
          </w:tcPr>
          <w:p w14:paraId="43CB535C" w14:textId="77777777" w:rsidR="00211378" w:rsidRPr="0074503B" w:rsidRDefault="00211378" w:rsidP="00DD660C">
            <w:pPr>
              <w:jc w:val="center"/>
              <w:rPr>
                <w:rFonts w:asciiTheme="minorHAnsi" w:hAnsiTheme="minorHAnsi"/>
                <w:sz w:val="24"/>
                <w:szCs w:val="32"/>
              </w:rPr>
            </w:pPr>
            <w:r w:rsidRPr="00CD4E84">
              <w:rPr>
                <w:rFonts w:asciiTheme="minorHAnsi" w:eastAsiaTheme="minorHAnsi" w:hAnsiTheme="minorHAnsi" w:cstheme="minorBidi"/>
                <w:sz w:val="24"/>
                <w:szCs w:val="32"/>
              </w:rPr>
              <w:t>An oxidizer that has the potential to lead to an explosive oxidation whe</w:t>
            </w:r>
            <w:r>
              <w:rPr>
                <w:rFonts w:asciiTheme="minorHAnsi" w:eastAsiaTheme="minorHAnsi" w:hAnsiTheme="minorHAnsi" w:cstheme="minorBidi"/>
                <w:sz w:val="24"/>
                <w:szCs w:val="32"/>
              </w:rPr>
              <w:t>n combined with other materials</w:t>
            </w:r>
          </w:p>
        </w:tc>
      </w:tr>
    </w:tbl>
    <w:p w14:paraId="29603ADA" w14:textId="77777777" w:rsidR="00211378" w:rsidRDefault="00211378" w:rsidP="00211378">
      <w:pPr>
        <w:rPr>
          <w:sz w:val="24"/>
          <w:szCs w:val="32"/>
        </w:rPr>
      </w:pPr>
    </w:p>
    <w:p w14:paraId="6BBE94DC" w14:textId="77777777" w:rsidR="00211378" w:rsidRDefault="00211378" w:rsidP="00211378">
      <w:pPr>
        <w:rPr>
          <w:sz w:val="24"/>
          <w:szCs w:val="32"/>
        </w:rPr>
      </w:pPr>
      <w:r>
        <w:rPr>
          <w:sz w:val="24"/>
          <w:szCs w:val="32"/>
        </w:rPr>
        <w:t>This SOP should not be used for nitric acid, perchloric acid, piranha solutions, and aqua regia because of specific requirements and hazards. Chemical-specific SOPs should be written by your lab for use of these materials. F</w:t>
      </w:r>
      <w:r w:rsidRPr="00E605CA">
        <w:rPr>
          <w:sz w:val="24"/>
          <w:szCs w:val="32"/>
        </w:rPr>
        <w:t>act sheets containing additional information</w:t>
      </w:r>
      <w:r>
        <w:rPr>
          <w:sz w:val="24"/>
          <w:szCs w:val="32"/>
        </w:rPr>
        <w:t xml:space="preserve"> on some of these materials</w:t>
      </w:r>
      <w:r w:rsidRPr="00E605CA">
        <w:rPr>
          <w:sz w:val="24"/>
          <w:szCs w:val="32"/>
        </w:rPr>
        <w:t xml:space="preserve"> can be found at </w:t>
      </w:r>
      <w:hyperlink r:id="rId8" w:history="1">
        <w:r w:rsidRPr="00092F53">
          <w:rPr>
            <w:rStyle w:val="Hyperlink"/>
            <w:sz w:val="24"/>
            <w:szCs w:val="32"/>
          </w:rPr>
          <w:t>http://z.umn.edu/safetyfactsheets</w:t>
        </w:r>
      </w:hyperlink>
      <w:r>
        <w:rPr>
          <w:sz w:val="24"/>
          <w:szCs w:val="32"/>
        </w:rPr>
        <w:t>.</w:t>
      </w:r>
      <w:r w:rsidRPr="00017E99">
        <w:rPr>
          <w:sz w:val="24"/>
          <w:szCs w:val="32"/>
        </w:rPr>
        <w:t xml:space="preserve"> </w:t>
      </w:r>
    </w:p>
    <w:p w14:paraId="0961A9B2" w14:textId="77777777" w:rsidR="00211378" w:rsidRPr="008204BC" w:rsidRDefault="00211378" w:rsidP="00211378">
      <w:pPr>
        <w:rPr>
          <w:sz w:val="24"/>
          <w:szCs w:val="32"/>
        </w:rPr>
      </w:pPr>
      <w:r w:rsidRPr="008204BC">
        <w:rPr>
          <w:sz w:val="24"/>
          <w:szCs w:val="32"/>
        </w:rPr>
        <w:t>Oxidizers may have additional hazards associated with them, such as toxicity, corrosiveness, or being a peroxide former. Materials with additional hazards are not addressed in this SOP.</w:t>
      </w:r>
    </w:p>
    <w:p w14:paraId="6E889525" w14:textId="77777777" w:rsidR="00703B1B" w:rsidRDefault="00703B1B" w:rsidP="00C7346B">
      <w:pPr>
        <w:rPr>
          <w:b/>
          <w:sz w:val="28"/>
          <w:szCs w:val="32"/>
        </w:rPr>
      </w:pPr>
    </w:p>
    <w:p w14:paraId="683648F4" w14:textId="77461C9C" w:rsidR="00AA5F92" w:rsidRPr="00703B1B" w:rsidRDefault="00AA5F92" w:rsidP="00C7346B">
      <w:pPr>
        <w:rPr>
          <w:b/>
          <w:sz w:val="28"/>
          <w:szCs w:val="32"/>
        </w:rPr>
      </w:pPr>
      <w:r w:rsidRPr="00703B1B">
        <w:rPr>
          <w:b/>
          <w:sz w:val="28"/>
          <w:szCs w:val="32"/>
        </w:rPr>
        <w:t>Storage and Transport</w:t>
      </w:r>
      <w:r w:rsidR="00FE3038" w:rsidRPr="00703B1B">
        <w:rPr>
          <w:b/>
          <w:sz w:val="24"/>
          <w:szCs w:val="32"/>
        </w:rPr>
        <w:t xml:space="preserve">  </w:t>
      </w:r>
    </w:p>
    <w:p w14:paraId="66CAEB32" w14:textId="77777777" w:rsidR="00503200" w:rsidRDefault="00503200" w:rsidP="003268A5">
      <w:pPr>
        <w:pStyle w:val="ListParagraph"/>
        <w:numPr>
          <w:ilvl w:val="0"/>
          <w:numId w:val="3"/>
        </w:numPr>
        <w:rPr>
          <w:sz w:val="24"/>
          <w:szCs w:val="32"/>
        </w:rPr>
      </w:pPr>
      <w:r>
        <w:rPr>
          <w:sz w:val="24"/>
          <w:szCs w:val="32"/>
        </w:rPr>
        <w:t>Only use manufacturer approved containers for oxidizing material.</w:t>
      </w:r>
    </w:p>
    <w:p w14:paraId="027A5AF7" w14:textId="11ADBE80" w:rsidR="003268A5" w:rsidRPr="00503200" w:rsidRDefault="0073716B" w:rsidP="003268A5">
      <w:pPr>
        <w:pStyle w:val="ListParagraph"/>
        <w:numPr>
          <w:ilvl w:val="0"/>
          <w:numId w:val="3"/>
        </w:numPr>
        <w:rPr>
          <w:sz w:val="24"/>
          <w:szCs w:val="32"/>
        </w:rPr>
      </w:pPr>
      <w:r w:rsidRPr="00503200">
        <w:rPr>
          <w:sz w:val="24"/>
          <w:szCs w:val="32"/>
        </w:rPr>
        <w:t>Oxidizers should never be stored near flammables, reducing agents or</w:t>
      </w:r>
      <w:r w:rsidR="00B5551B" w:rsidRPr="00503200">
        <w:rPr>
          <w:sz w:val="24"/>
          <w:szCs w:val="32"/>
        </w:rPr>
        <w:t xml:space="preserve"> other</w:t>
      </w:r>
      <w:r w:rsidRPr="00503200">
        <w:rPr>
          <w:sz w:val="24"/>
          <w:szCs w:val="32"/>
        </w:rPr>
        <w:t xml:space="preserve"> incompatible material that cou</w:t>
      </w:r>
      <w:r w:rsidR="00B5551B" w:rsidRPr="00503200">
        <w:rPr>
          <w:sz w:val="24"/>
          <w:szCs w:val="32"/>
        </w:rPr>
        <w:t>ld form peroxides upon exposure to oxidizers</w:t>
      </w:r>
      <w:r w:rsidRPr="00503200">
        <w:rPr>
          <w:sz w:val="24"/>
          <w:szCs w:val="32"/>
        </w:rPr>
        <w:t xml:space="preserve">. Store </w:t>
      </w:r>
      <w:r w:rsidRPr="00503200">
        <w:rPr>
          <w:sz w:val="24"/>
          <w:szCs w:val="32"/>
        </w:rPr>
        <w:lastRenderedPageBreak/>
        <w:t>oxidizers in a cool, dry place in their own secondary containment bin away from all incompatible material.</w:t>
      </w:r>
    </w:p>
    <w:p w14:paraId="2B91CB37" w14:textId="170E1DB3" w:rsidR="00FE1DBE" w:rsidRDefault="00FE1DBE" w:rsidP="00017E99">
      <w:pPr>
        <w:pStyle w:val="ListParagraph"/>
        <w:numPr>
          <w:ilvl w:val="0"/>
          <w:numId w:val="3"/>
        </w:numPr>
        <w:rPr>
          <w:sz w:val="24"/>
          <w:szCs w:val="32"/>
        </w:rPr>
      </w:pPr>
      <w:r>
        <w:rPr>
          <w:sz w:val="24"/>
          <w:szCs w:val="32"/>
        </w:rPr>
        <w:t>Avoid storage of oxidizers in/on combustible material (i.e. wooden shelves, cardboard boxes</w:t>
      </w:r>
      <w:r w:rsidR="00503200">
        <w:rPr>
          <w:sz w:val="24"/>
          <w:szCs w:val="32"/>
        </w:rPr>
        <w:t>,</w:t>
      </w:r>
      <w:r>
        <w:rPr>
          <w:sz w:val="24"/>
          <w:szCs w:val="32"/>
        </w:rPr>
        <w:t xml:space="preserve"> etc.).</w:t>
      </w:r>
    </w:p>
    <w:p w14:paraId="69147DF6" w14:textId="40E41588" w:rsidR="00FE1DBE" w:rsidRDefault="00FE1DBE" w:rsidP="00017E99">
      <w:pPr>
        <w:pStyle w:val="ListParagraph"/>
        <w:numPr>
          <w:ilvl w:val="0"/>
          <w:numId w:val="3"/>
        </w:numPr>
        <w:rPr>
          <w:sz w:val="24"/>
          <w:szCs w:val="32"/>
        </w:rPr>
      </w:pPr>
      <w:r>
        <w:rPr>
          <w:sz w:val="24"/>
          <w:szCs w:val="32"/>
        </w:rPr>
        <w:t xml:space="preserve">Do not seal containers of oxidizers with cork or rubber stoppers. </w:t>
      </w:r>
    </w:p>
    <w:p w14:paraId="28C88A38" w14:textId="719E32FD" w:rsidR="00314350" w:rsidRPr="00703B1B" w:rsidRDefault="001C4672" w:rsidP="007A1C88">
      <w:pPr>
        <w:pStyle w:val="ListParagraph"/>
        <w:numPr>
          <w:ilvl w:val="0"/>
          <w:numId w:val="3"/>
        </w:numPr>
        <w:rPr>
          <w:i/>
          <w:sz w:val="28"/>
          <w:szCs w:val="32"/>
        </w:rPr>
      </w:pPr>
      <w:r>
        <w:rPr>
          <w:sz w:val="24"/>
          <w:szCs w:val="32"/>
        </w:rPr>
        <w:t xml:space="preserve">If you are moving containers between campuses, or will be shipping any </w:t>
      </w:r>
      <w:r w:rsidR="00503200">
        <w:rPr>
          <w:sz w:val="24"/>
          <w:szCs w:val="32"/>
        </w:rPr>
        <w:t xml:space="preserve">material, contact DEHS at (612) </w:t>
      </w:r>
      <w:r>
        <w:rPr>
          <w:sz w:val="24"/>
          <w:szCs w:val="32"/>
        </w:rPr>
        <w:t>626-6002 before doing so.</w:t>
      </w:r>
    </w:p>
    <w:p w14:paraId="5D1719CE" w14:textId="77777777" w:rsidR="00703B1B" w:rsidRPr="00703B1B" w:rsidRDefault="00703B1B" w:rsidP="00703B1B">
      <w:pPr>
        <w:pStyle w:val="ListParagraph"/>
        <w:rPr>
          <w:i/>
          <w:sz w:val="28"/>
          <w:szCs w:val="32"/>
        </w:rPr>
      </w:pPr>
    </w:p>
    <w:p w14:paraId="18BCD9C8" w14:textId="77777777" w:rsidR="00AA5F92" w:rsidRPr="00703B1B" w:rsidRDefault="00AA5F92" w:rsidP="002E0279">
      <w:pPr>
        <w:rPr>
          <w:b/>
          <w:sz w:val="28"/>
          <w:szCs w:val="32"/>
        </w:rPr>
      </w:pPr>
      <w:r w:rsidRPr="00703B1B">
        <w:rPr>
          <w:b/>
          <w:sz w:val="28"/>
          <w:szCs w:val="32"/>
        </w:rPr>
        <w:t>Set-Up and Active Work</w:t>
      </w:r>
    </w:p>
    <w:p w14:paraId="68A209AD" w14:textId="306B3CF8" w:rsidR="00525D7A" w:rsidRDefault="003268A5" w:rsidP="00017E99">
      <w:pPr>
        <w:pStyle w:val="ListParagraph"/>
        <w:numPr>
          <w:ilvl w:val="0"/>
          <w:numId w:val="4"/>
        </w:numPr>
        <w:rPr>
          <w:sz w:val="24"/>
          <w:szCs w:val="32"/>
        </w:rPr>
      </w:pPr>
      <w:r>
        <w:rPr>
          <w:sz w:val="24"/>
          <w:szCs w:val="32"/>
        </w:rPr>
        <w:t>Always check for incompatibilities when using oxidizers in any part of a reaction.</w:t>
      </w:r>
      <w:r w:rsidR="00A44872">
        <w:rPr>
          <w:sz w:val="24"/>
          <w:szCs w:val="32"/>
        </w:rPr>
        <w:t xml:space="preserve"> </w:t>
      </w:r>
      <w:r w:rsidR="00525D7A">
        <w:rPr>
          <w:sz w:val="24"/>
          <w:szCs w:val="32"/>
        </w:rPr>
        <w:t>Section 10 of the Safety Data Sheet will list incompatible material</w:t>
      </w:r>
      <w:r w:rsidR="00314350">
        <w:rPr>
          <w:sz w:val="24"/>
          <w:szCs w:val="32"/>
        </w:rPr>
        <w:t>s</w:t>
      </w:r>
      <w:r w:rsidR="00525D7A">
        <w:rPr>
          <w:sz w:val="24"/>
          <w:szCs w:val="32"/>
        </w:rPr>
        <w:t>.</w:t>
      </w:r>
    </w:p>
    <w:p w14:paraId="79734D0D" w14:textId="46EBABE7" w:rsidR="003268A5" w:rsidRPr="00E43F80" w:rsidRDefault="00A44872" w:rsidP="00017E99">
      <w:pPr>
        <w:pStyle w:val="ListParagraph"/>
        <w:numPr>
          <w:ilvl w:val="0"/>
          <w:numId w:val="4"/>
        </w:numPr>
        <w:rPr>
          <w:sz w:val="24"/>
          <w:szCs w:val="32"/>
        </w:rPr>
      </w:pPr>
      <w:r>
        <w:rPr>
          <w:sz w:val="24"/>
          <w:szCs w:val="32"/>
        </w:rPr>
        <w:t xml:space="preserve">If </w:t>
      </w:r>
      <w:r w:rsidR="00525D7A">
        <w:rPr>
          <w:sz w:val="24"/>
          <w:szCs w:val="32"/>
        </w:rPr>
        <w:t>oxidizers must be mixed with incompatible material, a</w:t>
      </w:r>
      <w:r>
        <w:rPr>
          <w:sz w:val="24"/>
          <w:szCs w:val="32"/>
        </w:rPr>
        <w:t>s required in a</w:t>
      </w:r>
      <w:r w:rsidR="00A11AEA">
        <w:rPr>
          <w:sz w:val="24"/>
          <w:szCs w:val="32"/>
        </w:rPr>
        <w:t xml:space="preserve"> peer-reviewed</w:t>
      </w:r>
      <w:r>
        <w:rPr>
          <w:sz w:val="24"/>
          <w:szCs w:val="32"/>
        </w:rPr>
        <w:t xml:space="preserve"> experimental procedure, slowly mix small quantities of the material under cooling conditions to prevent a</w:t>
      </w:r>
      <w:r w:rsidR="00A11AEA">
        <w:rPr>
          <w:sz w:val="24"/>
          <w:szCs w:val="32"/>
        </w:rPr>
        <w:t xml:space="preserve"> potential</w:t>
      </w:r>
      <w:r>
        <w:rPr>
          <w:sz w:val="24"/>
          <w:szCs w:val="32"/>
        </w:rPr>
        <w:t xml:space="preserve"> exotherm.</w:t>
      </w:r>
    </w:p>
    <w:p w14:paraId="5B47BD4D" w14:textId="5A168AFC" w:rsidR="00E43F80" w:rsidRPr="00503200" w:rsidRDefault="00503200" w:rsidP="00676FD6">
      <w:pPr>
        <w:pStyle w:val="ListParagraph"/>
        <w:numPr>
          <w:ilvl w:val="0"/>
          <w:numId w:val="4"/>
        </w:numPr>
        <w:rPr>
          <w:sz w:val="24"/>
          <w:szCs w:val="32"/>
        </w:rPr>
      </w:pPr>
      <w:r w:rsidRPr="00503200">
        <w:rPr>
          <w:sz w:val="24"/>
          <w:szCs w:val="32"/>
        </w:rPr>
        <w:t>D</w:t>
      </w:r>
      <w:r w:rsidR="00A11AEA" w:rsidRPr="00503200">
        <w:rPr>
          <w:sz w:val="24"/>
          <w:szCs w:val="32"/>
        </w:rPr>
        <w:t xml:space="preserve">o not return </w:t>
      </w:r>
      <w:r w:rsidRPr="00503200">
        <w:rPr>
          <w:sz w:val="24"/>
          <w:szCs w:val="32"/>
        </w:rPr>
        <w:t>excess material</w:t>
      </w:r>
      <w:r w:rsidR="00A11AEA" w:rsidRPr="00503200">
        <w:rPr>
          <w:sz w:val="24"/>
          <w:szCs w:val="32"/>
        </w:rPr>
        <w:t xml:space="preserve"> to the original bottle</w:t>
      </w:r>
      <w:r>
        <w:rPr>
          <w:sz w:val="24"/>
          <w:szCs w:val="32"/>
        </w:rPr>
        <w:t xml:space="preserve"> – dispose of it as hazardous waste</w:t>
      </w:r>
      <w:r w:rsidR="00A11AEA" w:rsidRPr="00503200">
        <w:rPr>
          <w:sz w:val="24"/>
          <w:szCs w:val="32"/>
        </w:rPr>
        <w:t>.</w:t>
      </w:r>
      <w:r>
        <w:rPr>
          <w:sz w:val="24"/>
          <w:szCs w:val="32"/>
        </w:rPr>
        <w:t xml:space="preserve"> </w:t>
      </w:r>
      <w:r w:rsidR="00A11AEA" w:rsidRPr="00503200">
        <w:rPr>
          <w:sz w:val="24"/>
          <w:szCs w:val="32"/>
        </w:rPr>
        <w:t>Small amounts of impurities can cause an unexpected and potentially violent reaction.</w:t>
      </w:r>
    </w:p>
    <w:p w14:paraId="5A45E474" w14:textId="77777777" w:rsidR="00703B1B" w:rsidRDefault="00703B1B" w:rsidP="002E0279">
      <w:pPr>
        <w:rPr>
          <w:b/>
          <w:sz w:val="28"/>
          <w:szCs w:val="32"/>
        </w:rPr>
      </w:pPr>
      <w:bookmarkStart w:id="0" w:name="_GoBack"/>
      <w:bookmarkEnd w:id="0"/>
    </w:p>
    <w:p w14:paraId="0DDDCF4E" w14:textId="77777777" w:rsidR="00AA5F92" w:rsidRPr="00703B1B" w:rsidRDefault="00AA5F92" w:rsidP="002E0279">
      <w:pPr>
        <w:rPr>
          <w:b/>
          <w:sz w:val="28"/>
          <w:szCs w:val="32"/>
        </w:rPr>
      </w:pPr>
      <w:r w:rsidRPr="00703B1B">
        <w:rPr>
          <w:b/>
          <w:sz w:val="28"/>
          <w:szCs w:val="32"/>
        </w:rPr>
        <w:t>Exposure Controls</w:t>
      </w:r>
    </w:p>
    <w:p w14:paraId="04A83C4B" w14:textId="5A9EF47D" w:rsidR="00C7346B" w:rsidRPr="00A11AEA" w:rsidRDefault="00AB1C9D" w:rsidP="00AB1C9D">
      <w:pPr>
        <w:pStyle w:val="ListParagraph"/>
        <w:numPr>
          <w:ilvl w:val="0"/>
          <w:numId w:val="8"/>
        </w:numPr>
        <w:rPr>
          <w:b/>
          <w:sz w:val="24"/>
          <w:szCs w:val="32"/>
        </w:rPr>
      </w:pPr>
      <w:r>
        <w:rPr>
          <w:sz w:val="24"/>
          <w:szCs w:val="32"/>
        </w:rPr>
        <w:t>Work in a fume hood when conducting procedures using oxidizing material. If heating o</w:t>
      </w:r>
      <w:r w:rsidR="00FE1DBE">
        <w:rPr>
          <w:sz w:val="24"/>
          <w:szCs w:val="32"/>
        </w:rPr>
        <w:t>r pressurizing reactions, consider the use of an explosion proof shield.</w:t>
      </w:r>
    </w:p>
    <w:p w14:paraId="3D53CD92" w14:textId="6C145E90" w:rsidR="003D2360" w:rsidRPr="003D2360" w:rsidRDefault="00A11AEA" w:rsidP="003D2360">
      <w:pPr>
        <w:pStyle w:val="ListParagraph"/>
        <w:numPr>
          <w:ilvl w:val="0"/>
          <w:numId w:val="8"/>
        </w:numPr>
        <w:rPr>
          <w:b/>
          <w:sz w:val="24"/>
          <w:szCs w:val="32"/>
        </w:rPr>
      </w:pPr>
      <w:r>
        <w:rPr>
          <w:sz w:val="24"/>
          <w:szCs w:val="32"/>
        </w:rPr>
        <w:t>If oxidizers must be weighed or disp</w:t>
      </w:r>
      <w:r w:rsidR="00E97D11">
        <w:rPr>
          <w:sz w:val="24"/>
          <w:szCs w:val="32"/>
        </w:rPr>
        <w:t xml:space="preserve">ensed outside of a fume </w:t>
      </w:r>
      <w:r w:rsidR="00E97D11" w:rsidRPr="003D2360">
        <w:rPr>
          <w:color w:val="000000" w:themeColor="text1"/>
          <w:sz w:val="24"/>
          <w:szCs w:val="32"/>
        </w:rPr>
        <w:t xml:space="preserve">hood, </w:t>
      </w:r>
      <w:r w:rsidR="003D2360" w:rsidRPr="003D2360">
        <w:rPr>
          <w:color w:val="000000" w:themeColor="text1"/>
          <w:sz w:val="24"/>
          <w:szCs w:val="32"/>
        </w:rPr>
        <w:t>consult with your supervisor or DEHS before beginning work – you may need to wear a respirator and participate in the University of Minnesota’s Respiratory Protection Program.</w:t>
      </w:r>
    </w:p>
    <w:p w14:paraId="38CF49CC" w14:textId="0F50A74D" w:rsidR="00FE1DBE" w:rsidRPr="003D2360" w:rsidRDefault="00FE1DBE" w:rsidP="004F2146">
      <w:pPr>
        <w:pStyle w:val="ListParagraph"/>
        <w:numPr>
          <w:ilvl w:val="0"/>
          <w:numId w:val="8"/>
        </w:numPr>
        <w:rPr>
          <w:b/>
          <w:sz w:val="24"/>
          <w:szCs w:val="32"/>
        </w:rPr>
      </w:pPr>
      <w:r w:rsidRPr="003D2360">
        <w:rPr>
          <w:sz w:val="24"/>
          <w:szCs w:val="32"/>
        </w:rPr>
        <w:t xml:space="preserve">Do not heat open </w:t>
      </w:r>
      <w:r w:rsidR="008C22C5" w:rsidRPr="003D2360">
        <w:rPr>
          <w:sz w:val="24"/>
          <w:szCs w:val="32"/>
        </w:rPr>
        <w:t xml:space="preserve">vessels containing </w:t>
      </w:r>
      <w:r w:rsidRPr="003D2360">
        <w:rPr>
          <w:sz w:val="24"/>
          <w:szCs w:val="32"/>
        </w:rPr>
        <w:t>&gt;2</w:t>
      </w:r>
      <w:r w:rsidR="008C22C5" w:rsidRPr="003D2360">
        <w:rPr>
          <w:sz w:val="24"/>
          <w:szCs w:val="32"/>
        </w:rPr>
        <w:t>5 mL</w:t>
      </w:r>
      <w:r w:rsidRPr="003D2360">
        <w:rPr>
          <w:sz w:val="24"/>
          <w:szCs w:val="32"/>
        </w:rPr>
        <w:t xml:space="preserve"> of oxidizing liquids (i.e. perchloric acid) in a fume hood that does not have a chemical wash-down system. If using a hood with a chemical wash-down system, verify that the system works prior to starting work</w:t>
      </w:r>
      <w:r w:rsidR="006772FB">
        <w:rPr>
          <w:sz w:val="24"/>
          <w:szCs w:val="32"/>
        </w:rPr>
        <w:t xml:space="preserve"> and contact FM for proper use instructions</w:t>
      </w:r>
      <w:r w:rsidRPr="003D2360">
        <w:rPr>
          <w:sz w:val="24"/>
          <w:szCs w:val="32"/>
        </w:rPr>
        <w:t xml:space="preserve">. </w:t>
      </w:r>
    </w:p>
    <w:p w14:paraId="45C03447" w14:textId="77777777" w:rsidR="002E11AD" w:rsidRPr="002E11AD" w:rsidRDefault="002E11AD" w:rsidP="002E11AD">
      <w:pPr>
        <w:pStyle w:val="ListParagraph"/>
        <w:rPr>
          <w:b/>
          <w:sz w:val="24"/>
          <w:szCs w:val="32"/>
        </w:rPr>
      </w:pPr>
    </w:p>
    <w:p w14:paraId="630D17E5" w14:textId="77777777" w:rsidR="0074503B" w:rsidRDefault="007653BB" w:rsidP="002E0279">
      <w:pPr>
        <w:rPr>
          <w:b/>
          <w:sz w:val="24"/>
          <w:szCs w:val="32"/>
        </w:rPr>
      </w:pPr>
      <w:r w:rsidRPr="0049623D">
        <w:rPr>
          <w:b/>
          <w:sz w:val="24"/>
          <w:szCs w:val="32"/>
        </w:rPr>
        <w:t xml:space="preserve">Minimum PPE </w:t>
      </w:r>
      <w:r w:rsidR="0074503B">
        <w:rPr>
          <w:b/>
          <w:sz w:val="24"/>
          <w:szCs w:val="32"/>
        </w:rPr>
        <w:t>Requirements</w:t>
      </w:r>
    </w:p>
    <w:p w14:paraId="5AEB376F" w14:textId="5D2D4C8E" w:rsidR="007653BB" w:rsidRPr="0049623D" w:rsidRDefault="004D75E9" w:rsidP="00000679">
      <w:pPr>
        <w:rPr>
          <w:sz w:val="24"/>
          <w:szCs w:val="32"/>
        </w:rPr>
      </w:pPr>
      <w:r>
        <w:rPr>
          <w:sz w:val="24"/>
          <w:szCs w:val="32"/>
        </w:rPr>
        <w:t xml:space="preserve">PPE requirements </w:t>
      </w:r>
      <w:r w:rsidR="007653BB" w:rsidRPr="0049623D">
        <w:rPr>
          <w:sz w:val="24"/>
          <w:szCs w:val="32"/>
        </w:rPr>
        <w:t>include:</w:t>
      </w:r>
    </w:p>
    <w:p w14:paraId="0CBA888D" w14:textId="7B91CAB4" w:rsidR="007653BB" w:rsidRDefault="004D75E9" w:rsidP="00000679">
      <w:pPr>
        <w:pStyle w:val="ListParagraph"/>
        <w:numPr>
          <w:ilvl w:val="0"/>
          <w:numId w:val="1"/>
        </w:numPr>
        <w:rPr>
          <w:sz w:val="24"/>
          <w:szCs w:val="32"/>
          <w:highlight w:val="yellow"/>
        </w:rPr>
      </w:pPr>
      <w:r>
        <w:rPr>
          <w:sz w:val="24"/>
          <w:szCs w:val="32"/>
          <w:highlight w:val="yellow"/>
        </w:rPr>
        <w:t>Lab coat</w:t>
      </w:r>
      <w:r w:rsidR="007653BB" w:rsidRPr="0049623D">
        <w:rPr>
          <w:sz w:val="24"/>
          <w:szCs w:val="32"/>
          <w:highlight w:val="yellow"/>
        </w:rPr>
        <w:t xml:space="preserve"> (if applicable</w:t>
      </w:r>
      <w:r>
        <w:rPr>
          <w:sz w:val="24"/>
          <w:szCs w:val="32"/>
          <w:highlight w:val="yellow"/>
        </w:rPr>
        <w:t xml:space="preserve"> to your lab</w:t>
      </w:r>
      <w:r w:rsidR="007653BB" w:rsidRPr="0049623D">
        <w:rPr>
          <w:sz w:val="24"/>
          <w:szCs w:val="32"/>
          <w:highlight w:val="yellow"/>
        </w:rPr>
        <w:t>)</w:t>
      </w:r>
    </w:p>
    <w:p w14:paraId="00C683EE" w14:textId="11E7E412" w:rsidR="004D75E9" w:rsidRDefault="004D75E9" w:rsidP="00000679">
      <w:pPr>
        <w:pStyle w:val="ListParagraph"/>
        <w:numPr>
          <w:ilvl w:val="0"/>
          <w:numId w:val="1"/>
        </w:numPr>
        <w:rPr>
          <w:sz w:val="24"/>
          <w:szCs w:val="32"/>
          <w:highlight w:val="yellow"/>
        </w:rPr>
      </w:pPr>
      <w:r>
        <w:rPr>
          <w:sz w:val="24"/>
          <w:szCs w:val="32"/>
          <w:highlight w:val="yellow"/>
        </w:rPr>
        <w:t>Safety glasses/goggles (if applicable to your lab)</w:t>
      </w:r>
    </w:p>
    <w:p w14:paraId="5ABFFA08" w14:textId="08253958" w:rsidR="004D75E9" w:rsidRPr="0049623D" w:rsidRDefault="004D75E9" w:rsidP="00000679">
      <w:pPr>
        <w:pStyle w:val="ListParagraph"/>
        <w:numPr>
          <w:ilvl w:val="0"/>
          <w:numId w:val="1"/>
        </w:numPr>
        <w:rPr>
          <w:sz w:val="24"/>
          <w:szCs w:val="32"/>
          <w:highlight w:val="yellow"/>
        </w:rPr>
      </w:pPr>
      <w:r>
        <w:rPr>
          <w:sz w:val="24"/>
          <w:szCs w:val="32"/>
          <w:highlight w:val="yellow"/>
        </w:rPr>
        <w:t>Nitrile gloves (if applicable to your lab)</w:t>
      </w:r>
    </w:p>
    <w:p w14:paraId="6B1539EC" w14:textId="36F7F0FD" w:rsidR="007653BB" w:rsidRPr="0049623D" w:rsidRDefault="004D75E9" w:rsidP="00000679">
      <w:pPr>
        <w:pStyle w:val="ListParagraph"/>
        <w:numPr>
          <w:ilvl w:val="0"/>
          <w:numId w:val="1"/>
        </w:numPr>
        <w:rPr>
          <w:sz w:val="24"/>
          <w:szCs w:val="32"/>
          <w:highlight w:val="yellow"/>
        </w:rPr>
      </w:pPr>
      <w:r>
        <w:rPr>
          <w:sz w:val="24"/>
          <w:szCs w:val="32"/>
          <w:highlight w:val="yellow"/>
        </w:rPr>
        <w:t>Additional PPE</w:t>
      </w:r>
      <w:r w:rsidR="0049623D" w:rsidRPr="0049623D">
        <w:rPr>
          <w:sz w:val="24"/>
          <w:szCs w:val="32"/>
          <w:highlight w:val="yellow"/>
        </w:rPr>
        <w:t xml:space="preserve"> (if applicable</w:t>
      </w:r>
      <w:r>
        <w:rPr>
          <w:sz w:val="24"/>
          <w:szCs w:val="32"/>
          <w:highlight w:val="yellow"/>
        </w:rPr>
        <w:t>)</w:t>
      </w:r>
    </w:p>
    <w:p w14:paraId="10CED10C" w14:textId="41F84FDE" w:rsidR="008D3D54" w:rsidRDefault="007653BB" w:rsidP="002E0279">
      <w:pPr>
        <w:rPr>
          <w:sz w:val="24"/>
          <w:szCs w:val="32"/>
        </w:rPr>
      </w:pPr>
      <w:r w:rsidRPr="0049623D">
        <w:rPr>
          <w:sz w:val="24"/>
          <w:szCs w:val="32"/>
        </w:rPr>
        <w:t xml:space="preserve">If </w:t>
      </w:r>
      <w:r w:rsidR="008D3D54">
        <w:rPr>
          <w:sz w:val="24"/>
          <w:szCs w:val="32"/>
        </w:rPr>
        <w:t>procedure or material-specific PPE is required beyond the minimum listed above, another SOP should be available for that procedure or material. (Example: cartridge respirator, neoprene gloves, etc.)</w:t>
      </w:r>
    </w:p>
    <w:p w14:paraId="2AA791D7" w14:textId="554B39E1" w:rsidR="002E0279" w:rsidRDefault="002E0279" w:rsidP="002E0279">
      <w:pPr>
        <w:rPr>
          <w:b/>
          <w:i/>
          <w:sz w:val="28"/>
          <w:szCs w:val="32"/>
        </w:rPr>
      </w:pPr>
      <w:r w:rsidRPr="0049623D">
        <w:rPr>
          <w:b/>
          <w:i/>
          <w:sz w:val="28"/>
          <w:szCs w:val="32"/>
        </w:rPr>
        <w:t>Spill &amp; Accident Planning</w:t>
      </w:r>
      <w:r w:rsidR="00F043C1" w:rsidRPr="0049623D">
        <w:rPr>
          <w:b/>
          <w:i/>
          <w:sz w:val="28"/>
          <w:szCs w:val="32"/>
        </w:rPr>
        <w:t>/What-If</w:t>
      </w:r>
    </w:p>
    <w:p w14:paraId="54BDC0E4" w14:textId="77777777" w:rsidR="009A703E" w:rsidRDefault="004B353F" w:rsidP="001D0C0A">
      <w:pPr>
        <w:rPr>
          <w:sz w:val="24"/>
          <w:szCs w:val="24"/>
        </w:rPr>
      </w:pPr>
      <w:r w:rsidRPr="009A703E">
        <w:rPr>
          <w:sz w:val="24"/>
          <w:szCs w:val="24"/>
        </w:rPr>
        <w:t>During lab-specific training, researchers should be informed where fire extinguishers, safety showers, alarm pull stations, and egress routes are. All labs are set up so that this emergency equipment is readily available and near exits.</w:t>
      </w:r>
      <w:r w:rsidR="008C0811" w:rsidRPr="009A703E">
        <w:rPr>
          <w:sz w:val="24"/>
          <w:szCs w:val="24"/>
        </w:rPr>
        <w:t xml:space="preserve"> </w:t>
      </w:r>
    </w:p>
    <w:p w14:paraId="0D970854" w14:textId="0E9DDA40" w:rsidR="00D2790C" w:rsidRPr="009A703E" w:rsidRDefault="008C0811" w:rsidP="001D0C0A">
      <w:pPr>
        <w:rPr>
          <w:sz w:val="24"/>
          <w:szCs w:val="24"/>
        </w:rPr>
      </w:pPr>
      <w:r w:rsidRPr="009A703E">
        <w:rPr>
          <w:b/>
          <w:sz w:val="24"/>
          <w:szCs w:val="24"/>
        </w:rPr>
        <w:t>NOTE</w:t>
      </w:r>
      <w:r w:rsidRPr="009A703E">
        <w:rPr>
          <w:sz w:val="24"/>
          <w:szCs w:val="24"/>
        </w:rPr>
        <w:t>: OXIDIZERS PROVIDE FUEL TO THE FIRE</w:t>
      </w:r>
      <w:r w:rsidR="005E25DB" w:rsidRPr="009A703E">
        <w:rPr>
          <w:sz w:val="24"/>
          <w:szCs w:val="24"/>
        </w:rPr>
        <w:t xml:space="preserve"> AND</w:t>
      </w:r>
      <w:r w:rsidR="0073716B" w:rsidRPr="009A703E">
        <w:rPr>
          <w:sz w:val="24"/>
          <w:szCs w:val="24"/>
        </w:rPr>
        <w:t xml:space="preserve"> FIGHTING WITH TRADITIONAL METHODS IS NOT EFFICIENT.</w:t>
      </w:r>
      <w:r w:rsidR="005E25DB" w:rsidRPr="009A703E">
        <w:rPr>
          <w:sz w:val="24"/>
          <w:szCs w:val="24"/>
        </w:rPr>
        <w:t xml:space="preserve"> YOU ARE </w:t>
      </w:r>
      <w:r w:rsidR="001C12D6" w:rsidRPr="009A703E">
        <w:rPr>
          <w:sz w:val="24"/>
          <w:szCs w:val="24"/>
        </w:rPr>
        <w:t>NEVER</w:t>
      </w:r>
      <w:r w:rsidR="005E25DB" w:rsidRPr="009A703E">
        <w:rPr>
          <w:sz w:val="24"/>
          <w:szCs w:val="24"/>
        </w:rPr>
        <w:t xml:space="preserve"> REQUI</w:t>
      </w:r>
      <w:r w:rsidR="001C12D6" w:rsidRPr="009A703E">
        <w:rPr>
          <w:sz w:val="24"/>
          <w:szCs w:val="24"/>
        </w:rPr>
        <w:t>RED TO ATTEMPT TO EXTINGUISH ANY</w:t>
      </w:r>
      <w:r w:rsidR="005E25DB" w:rsidRPr="009A703E">
        <w:rPr>
          <w:sz w:val="24"/>
          <w:szCs w:val="24"/>
        </w:rPr>
        <w:t xml:space="preserve"> FIRE</w:t>
      </w:r>
      <w:r w:rsidRPr="009A703E">
        <w:rPr>
          <w:sz w:val="24"/>
          <w:szCs w:val="24"/>
        </w:rPr>
        <w:t xml:space="preserve">. </w:t>
      </w:r>
    </w:p>
    <w:tbl>
      <w:tblPr>
        <w:tblStyle w:val="TableGrid"/>
        <w:tblW w:w="9355" w:type="dxa"/>
        <w:tblLook w:val="04A0" w:firstRow="1" w:lastRow="0" w:firstColumn="1" w:lastColumn="0" w:noHBand="0" w:noVBand="1"/>
      </w:tblPr>
      <w:tblGrid>
        <w:gridCol w:w="1255"/>
        <w:gridCol w:w="8100"/>
      </w:tblGrid>
      <w:tr w:rsidR="00E92DB8" w:rsidRPr="0049623D" w14:paraId="74742FA6" w14:textId="77777777" w:rsidTr="0049623D">
        <w:tc>
          <w:tcPr>
            <w:tcW w:w="9355" w:type="dxa"/>
            <w:gridSpan w:val="2"/>
            <w:shd w:val="clear" w:color="auto" w:fill="D9D9D9" w:themeFill="background1" w:themeFillShade="D9"/>
          </w:tcPr>
          <w:p w14:paraId="3D1D5F03" w14:textId="06E2E47E" w:rsidR="00E92DB8" w:rsidRPr="0049623D" w:rsidRDefault="00E92DB8" w:rsidP="00000679">
            <w:pPr>
              <w:jc w:val="center"/>
              <w:rPr>
                <w:rFonts w:asciiTheme="minorHAnsi" w:hAnsiTheme="minorHAnsi"/>
                <w:b/>
                <w:bCs/>
                <w:sz w:val="24"/>
              </w:rPr>
            </w:pPr>
            <w:r w:rsidRPr="0049623D">
              <w:rPr>
                <w:rFonts w:asciiTheme="minorHAnsi" w:hAnsiTheme="minorHAnsi"/>
                <w:b/>
                <w:bCs/>
                <w:sz w:val="24"/>
              </w:rPr>
              <w:t>Lab-Specific Emergency Response Procedures</w:t>
            </w:r>
          </w:p>
        </w:tc>
      </w:tr>
      <w:tr w:rsidR="00E92DB8" w:rsidRPr="0049623D" w14:paraId="61AA9A9B" w14:textId="77777777" w:rsidTr="00E92DB8">
        <w:trPr>
          <w:trHeight w:val="260"/>
        </w:trPr>
        <w:tc>
          <w:tcPr>
            <w:tcW w:w="1255" w:type="dxa"/>
          </w:tcPr>
          <w:p w14:paraId="2854DD2E" w14:textId="651F6B82" w:rsidR="00E92DB8" w:rsidRPr="0049623D" w:rsidRDefault="0049623D" w:rsidP="00000679">
            <w:pPr>
              <w:rPr>
                <w:rFonts w:asciiTheme="minorHAnsi" w:hAnsiTheme="minorHAnsi"/>
                <w:b/>
                <w:sz w:val="24"/>
              </w:rPr>
            </w:pPr>
            <w:r w:rsidRPr="0049623D">
              <w:rPr>
                <w:rFonts w:asciiTheme="minorHAnsi" w:hAnsiTheme="minorHAnsi"/>
                <w:b/>
                <w:sz w:val="24"/>
              </w:rPr>
              <w:t xml:space="preserve">Small </w:t>
            </w:r>
            <w:r w:rsidR="00E92DB8" w:rsidRPr="0049623D">
              <w:rPr>
                <w:rFonts w:asciiTheme="minorHAnsi" w:hAnsiTheme="minorHAnsi"/>
                <w:b/>
                <w:sz w:val="24"/>
              </w:rPr>
              <w:t>Fire</w:t>
            </w:r>
          </w:p>
        </w:tc>
        <w:tc>
          <w:tcPr>
            <w:tcW w:w="8100" w:type="dxa"/>
          </w:tcPr>
          <w:p w14:paraId="5AB5FA83" w14:textId="1257059E" w:rsidR="00E92DB8" w:rsidRPr="0049623D" w:rsidRDefault="0049623D" w:rsidP="0049623D">
            <w:pPr>
              <w:rPr>
                <w:rFonts w:asciiTheme="minorHAnsi" w:hAnsiTheme="minorHAnsi"/>
                <w:bCs/>
                <w:i/>
                <w:sz w:val="24"/>
              </w:rPr>
            </w:pPr>
            <w:r w:rsidRPr="0049623D">
              <w:rPr>
                <w:rFonts w:asciiTheme="minorHAnsi" w:hAnsiTheme="minorHAnsi"/>
                <w:bCs/>
                <w:i/>
                <w:sz w:val="24"/>
                <w:highlight w:val="yellow"/>
              </w:rPr>
              <w:t>Define what (if any) fires your lab allows to be handled internally. Describe lab-specific response procedures.</w:t>
            </w:r>
            <w:r w:rsidR="004049C9">
              <w:rPr>
                <w:rFonts w:asciiTheme="minorHAnsi" w:hAnsiTheme="minorHAnsi"/>
                <w:bCs/>
                <w:i/>
                <w:sz w:val="24"/>
              </w:rPr>
              <w:t xml:space="preserve"> </w:t>
            </w:r>
            <w:r w:rsidR="004049C9" w:rsidRPr="008F4DC6">
              <w:rPr>
                <w:rFonts w:asciiTheme="minorHAnsi" w:hAnsiTheme="minorHAnsi"/>
                <w:bCs/>
                <w:sz w:val="24"/>
              </w:rPr>
              <w:t>You are never required to attempt to extinguish a fire – it should only be attempted it if can be done safely and you are comfortable doing so.</w:t>
            </w:r>
          </w:p>
        </w:tc>
      </w:tr>
      <w:tr w:rsidR="0049623D" w:rsidRPr="0049623D" w14:paraId="7ACC7248" w14:textId="77777777" w:rsidTr="00E92DB8">
        <w:trPr>
          <w:trHeight w:val="260"/>
        </w:trPr>
        <w:tc>
          <w:tcPr>
            <w:tcW w:w="1255" w:type="dxa"/>
          </w:tcPr>
          <w:p w14:paraId="2BB4DF6C" w14:textId="10493FC0" w:rsidR="0049623D" w:rsidRPr="0049623D" w:rsidRDefault="0049623D" w:rsidP="00000679">
            <w:pPr>
              <w:rPr>
                <w:rFonts w:asciiTheme="minorHAnsi" w:hAnsiTheme="minorHAnsi"/>
                <w:b/>
                <w:sz w:val="24"/>
              </w:rPr>
            </w:pPr>
            <w:r w:rsidRPr="0049623D">
              <w:rPr>
                <w:rFonts w:asciiTheme="minorHAnsi" w:hAnsiTheme="minorHAnsi"/>
                <w:b/>
                <w:sz w:val="24"/>
              </w:rPr>
              <w:t>Large Fire</w:t>
            </w:r>
          </w:p>
        </w:tc>
        <w:tc>
          <w:tcPr>
            <w:tcW w:w="8100" w:type="dxa"/>
          </w:tcPr>
          <w:p w14:paraId="54EBF2BF" w14:textId="155D807A" w:rsidR="004B353F" w:rsidRPr="0049623D" w:rsidRDefault="004B353F" w:rsidP="001D0C0A">
            <w:pPr>
              <w:rPr>
                <w:rFonts w:asciiTheme="minorHAnsi" w:hAnsiTheme="minorHAnsi"/>
                <w:bCs/>
                <w:sz w:val="24"/>
              </w:rPr>
            </w:pPr>
            <w:r>
              <w:rPr>
                <w:rFonts w:asciiTheme="minorHAnsi" w:hAnsiTheme="minorHAnsi"/>
                <w:bCs/>
                <w:sz w:val="24"/>
              </w:rPr>
              <w:t>Move away from the fire and contain it by shutting doors or sashes. Notify others and call 911. Pull the fire alarm as well, if available. Evacuate the area.</w:t>
            </w:r>
          </w:p>
        </w:tc>
      </w:tr>
      <w:tr w:rsidR="00E92DB8" w:rsidRPr="0049623D" w14:paraId="0DE2BA25" w14:textId="77777777" w:rsidTr="00E92DB8">
        <w:tc>
          <w:tcPr>
            <w:tcW w:w="1255" w:type="dxa"/>
          </w:tcPr>
          <w:p w14:paraId="68FA0612" w14:textId="71C51942" w:rsidR="00E92DB8" w:rsidRPr="0049623D" w:rsidRDefault="00E92DB8" w:rsidP="00000679">
            <w:pPr>
              <w:rPr>
                <w:rFonts w:asciiTheme="minorHAnsi" w:hAnsiTheme="minorHAnsi"/>
                <w:b/>
                <w:sz w:val="24"/>
              </w:rPr>
            </w:pPr>
            <w:r w:rsidRPr="0049623D">
              <w:rPr>
                <w:rFonts w:asciiTheme="minorHAnsi" w:hAnsiTheme="minorHAnsi"/>
                <w:b/>
                <w:sz w:val="24"/>
              </w:rPr>
              <w:t>Small Spill</w:t>
            </w:r>
          </w:p>
        </w:tc>
        <w:tc>
          <w:tcPr>
            <w:tcW w:w="8100" w:type="dxa"/>
          </w:tcPr>
          <w:p w14:paraId="5AC7D19B" w14:textId="35403130" w:rsidR="00E92DB8" w:rsidRPr="0049623D" w:rsidRDefault="0049623D" w:rsidP="0049623D">
            <w:pPr>
              <w:rPr>
                <w:rFonts w:asciiTheme="minorHAnsi" w:hAnsiTheme="minorHAnsi"/>
                <w:bCs/>
                <w:i/>
                <w:sz w:val="24"/>
                <w:highlight w:val="yellow"/>
              </w:rPr>
            </w:pPr>
            <w:r w:rsidRPr="0049623D">
              <w:rPr>
                <w:rFonts w:asciiTheme="minorHAnsi" w:hAnsiTheme="minorHAnsi"/>
                <w:bCs/>
                <w:i/>
                <w:sz w:val="24"/>
                <w:highlight w:val="yellow"/>
              </w:rPr>
              <w:t>List the maximum amount of spill that your lab is comfortable with and prepared for cleaning up yourselves. Describe your lab-specific response procedures.</w:t>
            </w:r>
          </w:p>
        </w:tc>
      </w:tr>
      <w:tr w:rsidR="00E92DB8" w:rsidRPr="0049623D" w14:paraId="7C48BB99" w14:textId="77777777" w:rsidTr="00E92DB8">
        <w:tc>
          <w:tcPr>
            <w:tcW w:w="1255" w:type="dxa"/>
          </w:tcPr>
          <w:p w14:paraId="4E0BC65A" w14:textId="34F5E56D" w:rsidR="00E92DB8" w:rsidRPr="0049623D" w:rsidRDefault="00E92DB8" w:rsidP="00000679">
            <w:pPr>
              <w:rPr>
                <w:rFonts w:asciiTheme="minorHAnsi" w:hAnsiTheme="minorHAnsi"/>
                <w:b/>
                <w:sz w:val="24"/>
              </w:rPr>
            </w:pPr>
            <w:r w:rsidRPr="0049623D">
              <w:rPr>
                <w:rFonts w:asciiTheme="minorHAnsi" w:hAnsiTheme="minorHAnsi"/>
                <w:b/>
                <w:sz w:val="24"/>
              </w:rPr>
              <w:t>Large Spill</w:t>
            </w:r>
          </w:p>
        </w:tc>
        <w:tc>
          <w:tcPr>
            <w:tcW w:w="8100" w:type="dxa"/>
          </w:tcPr>
          <w:p w14:paraId="34C54B47" w14:textId="6FA507E9" w:rsidR="00E92DB8" w:rsidRPr="0049623D" w:rsidRDefault="004B353F" w:rsidP="005E25DB">
            <w:pPr>
              <w:rPr>
                <w:rFonts w:asciiTheme="minorHAnsi" w:hAnsiTheme="minorHAnsi"/>
                <w:bCs/>
                <w:sz w:val="24"/>
              </w:rPr>
            </w:pPr>
            <w:r>
              <w:rPr>
                <w:rFonts w:asciiTheme="minorHAnsi" w:hAnsiTheme="minorHAnsi"/>
                <w:bCs/>
                <w:sz w:val="24"/>
              </w:rPr>
              <w:t xml:space="preserve">If the spill is larger than </w:t>
            </w:r>
            <w:r w:rsidRPr="001D0C0A">
              <w:rPr>
                <w:rFonts w:asciiTheme="minorHAnsi" w:hAnsiTheme="minorHAnsi"/>
                <w:bCs/>
                <w:sz w:val="24"/>
                <w:highlight w:val="yellow"/>
              </w:rPr>
              <w:t>XX</w:t>
            </w:r>
            <w:r>
              <w:rPr>
                <w:rFonts w:asciiTheme="minorHAnsi" w:hAnsiTheme="minorHAnsi"/>
                <w:bCs/>
                <w:sz w:val="24"/>
              </w:rPr>
              <w:t xml:space="preserve"> liters</w:t>
            </w:r>
            <w:r w:rsidR="005E25DB">
              <w:rPr>
                <w:rFonts w:asciiTheme="minorHAnsi" w:hAnsiTheme="minorHAnsi"/>
                <w:bCs/>
                <w:sz w:val="24"/>
              </w:rPr>
              <w:t xml:space="preserve">/grams, </w:t>
            </w:r>
            <w:r>
              <w:rPr>
                <w:rFonts w:asciiTheme="minorHAnsi" w:hAnsiTheme="minorHAnsi"/>
                <w:bCs/>
                <w:sz w:val="24"/>
              </w:rPr>
              <w:t xml:space="preserve">in a public area, </w:t>
            </w:r>
            <w:r w:rsidR="001D0C0A">
              <w:rPr>
                <w:rFonts w:asciiTheme="minorHAnsi" w:hAnsiTheme="minorHAnsi"/>
                <w:bCs/>
                <w:sz w:val="24"/>
              </w:rPr>
              <w:t xml:space="preserve">reaches a drain, </w:t>
            </w:r>
            <w:r>
              <w:rPr>
                <w:rFonts w:asciiTheme="minorHAnsi" w:hAnsiTheme="minorHAnsi"/>
                <w:bCs/>
                <w:sz w:val="24"/>
              </w:rPr>
              <w:t xml:space="preserve">or </w:t>
            </w:r>
            <w:r w:rsidR="001D0C0A">
              <w:rPr>
                <w:rFonts w:asciiTheme="minorHAnsi" w:hAnsiTheme="minorHAnsi"/>
                <w:bCs/>
                <w:sz w:val="24"/>
              </w:rPr>
              <w:t xml:space="preserve">is </w:t>
            </w:r>
            <w:r>
              <w:rPr>
                <w:rFonts w:asciiTheme="minorHAnsi" w:hAnsiTheme="minorHAnsi"/>
                <w:bCs/>
                <w:sz w:val="24"/>
              </w:rPr>
              <w:t>a stench chemical, contact DEHS for assistance at (612) 626-6002. Close sashes or doors to isolate the spill and evacuate yourself and others from the area.</w:t>
            </w:r>
          </w:p>
        </w:tc>
      </w:tr>
      <w:tr w:rsidR="00E92DB8" w:rsidRPr="0049623D" w14:paraId="09870B88" w14:textId="77777777" w:rsidTr="00E92DB8">
        <w:tc>
          <w:tcPr>
            <w:tcW w:w="1255" w:type="dxa"/>
          </w:tcPr>
          <w:p w14:paraId="02C18436" w14:textId="1CD20533" w:rsidR="00E92DB8" w:rsidRPr="0049623D" w:rsidRDefault="00E92DB8" w:rsidP="00000679">
            <w:pPr>
              <w:rPr>
                <w:rFonts w:asciiTheme="minorHAnsi" w:hAnsiTheme="minorHAnsi"/>
                <w:b/>
                <w:sz w:val="24"/>
              </w:rPr>
            </w:pPr>
            <w:r w:rsidRPr="0049623D">
              <w:rPr>
                <w:rFonts w:asciiTheme="minorHAnsi" w:hAnsiTheme="minorHAnsi"/>
                <w:b/>
                <w:sz w:val="24"/>
              </w:rPr>
              <w:t>Utility Failure</w:t>
            </w:r>
          </w:p>
        </w:tc>
        <w:tc>
          <w:tcPr>
            <w:tcW w:w="8100" w:type="dxa"/>
          </w:tcPr>
          <w:p w14:paraId="54F9ADA2" w14:textId="04C70994" w:rsidR="00E92DB8" w:rsidRPr="0049623D" w:rsidRDefault="0049623D" w:rsidP="003B3E1A">
            <w:pPr>
              <w:rPr>
                <w:rFonts w:asciiTheme="minorHAnsi" w:hAnsiTheme="minorHAnsi"/>
                <w:bCs/>
                <w:i/>
                <w:sz w:val="24"/>
              </w:rPr>
            </w:pPr>
            <w:r w:rsidRPr="0049623D">
              <w:rPr>
                <w:rFonts w:asciiTheme="minorHAnsi" w:hAnsiTheme="minorHAnsi"/>
                <w:bCs/>
                <w:i/>
                <w:sz w:val="24"/>
                <w:highlight w:val="yellow"/>
              </w:rPr>
              <w:t xml:space="preserve">Describe lab-specific procedures related to </w:t>
            </w:r>
            <w:r w:rsidR="003B3E1A">
              <w:rPr>
                <w:rFonts w:asciiTheme="minorHAnsi" w:hAnsiTheme="minorHAnsi"/>
                <w:bCs/>
                <w:i/>
                <w:sz w:val="24"/>
                <w:highlight w:val="yellow"/>
              </w:rPr>
              <w:t>oxidizing</w:t>
            </w:r>
            <w:r w:rsidRPr="0049623D">
              <w:rPr>
                <w:rFonts w:asciiTheme="minorHAnsi" w:hAnsiTheme="minorHAnsi"/>
                <w:bCs/>
                <w:i/>
                <w:sz w:val="24"/>
                <w:highlight w:val="yellow"/>
              </w:rPr>
              <w:t xml:space="preserve"> materials for responding to a power, water, or gas outage.</w:t>
            </w:r>
          </w:p>
        </w:tc>
      </w:tr>
    </w:tbl>
    <w:p w14:paraId="0CE33AD9" w14:textId="77777777" w:rsidR="00E92DB8" w:rsidRPr="0049623D" w:rsidRDefault="00E92DB8" w:rsidP="002E0279">
      <w:pPr>
        <w:rPr>
          <w:sz w:val="28"/>
          <w:szCs w:val="32"/>
        </w:rPr>
      </w:pPr>
    </w:p>
    <w:p w14:paraId="039291EE" w14:textId="77777777" w:rsidR="0074503B" w:rsidRPr="009A703E" w:rsidRDefault="0074503B" w:rsidP="0074503B">
      <w:pPr>
        <w:rPr>
          <w:b/>
          <w:i/>
          <w:color w:val="000000" w:themeColor="text1"/>
          <w:sz w:val="24"/>
          <w:szCs w:val="32"/>
        </w:rPr>
      </w:pPr>
      <w:r w:rsidRPr="009A703E">
        <w:rPr>
          <w:color w:val="000000" w:themeColor="text1"/>
          <w:sz w:val="24"/>
          <w:szCs w:val="32"/>
        </w:rPr>
        <w:t>All fires, injuries, or damage to the facility must be reported to and investigated by DEHS. Injuries which require medical treatment require a First Report of Injury (FROI) to be filed.</w:t>
      </w:r>
    </w:p>
    <w:p w14:paraId="55800831" w14:textId="77777777" w:rsidR="002E0279" w:rsidRDefault="002E0279" w:rsidP="002E0279">
      <w:pPr>
        <w:rPr>
          <w:b/>
          <w:i/>
          <w:sz w:val="28"/>
          <w:szCs w:val="32"/>
        </w:rPr>
      </w:pPr>
      <w:r w:rsidRPr="0049623D">
        <w:rPr>
          <w:b/>
          <w:i/>
          <w:sz w:val="28"/>
          <w:szCs w:val="32"/>
        </w:rPr>
        <w:t>Waste Storage and Disposal</w:t>
      </w:r>
    </w:p>
    <w:p w14:paraId="0D307247" w14:textId="77777777" w:rsidR="00DC510D" w:rsidRDefault="00DC510D" w:rsidP="00D2790C">
      <w:pPr>
        <w:pStyle w:val="ListParagraph"/>
        <w:numPr>
          <w:ilvl w:val="0"/>
          <w:numId w:val="6"/>
        </w:numPr>
        <w:rPr>
          <w:sz w:val="24"/>
          <w:szCs w:val="32"/>
        </w:rPr>
      </w:pPr>
      <w:r>
        <w:rPr>
          <w:sz w:val="24"/>
          <w:szCs w:val="32"/>
        </w:rPr>
        <w:t>Diligently label oxidizing waste and keep it separated from incompatible waste streams.</w:t>
      </w:r>
    </w:p>
    <w:p w14:paraId="38B03D88" w14:textId="169CBD27" w:rsidR="00DC510D" w:rsidRDefault="00DC510D" w:rsidP="00D2790C">
      <w:pPr>
        <w:pStyle w:val="ListParagraph"/>
        <w:numPr>
          <w:ilvl w:val="0"/>
          <w:numId w:val="6"/>
        </w:numPr>
        <w:rPr>
          <w:sz w:val="24"/>
          <w:szCs w:val="32"/>
        </w:rPr>
      </w:pPr>
      <w:r>
        <w:rPr>
          <w:sz w:val="24"/>
          <w:szCs w:val="32"/>
        </w:rPr>
        <w:t>Do not collect oxidizing waste in bottles that contained incompatible materials (i.e. flammable liquids) UNLESS the bottle has been thoroughly rinsed and dried before waste collection is started.</w:t>
      </w:r>
    </w:p>
    <w:p w14:paraId="31AE9FF3" w14:textId="2A89F262" w:rsidR="006479D1" w:rsidRDefault="006479D1" w:rsidP="00D2790C">
      <w:pPr>
        <w:pStyle w:val="ListParagraph"/>
        <w:numPr>
          <w:ilvl w:val="0"/>
          <w:numId w:val="6"/>
        </w:numPr>
        <w:rPr>
          <w:sz w:val="24"/>
          <w:szCs w:val="32"/>
        </w:rPr>
      </w:pPr>
      <w:r>
        <w:rPr>
          <w:sz w:val="24"/>
          <w:szCs w:val="32"/>
        </w:rPr>
        <w:t>Metal or plastic-coated amber bottles are recommended to block light from forming peroxides and for strength and integrity.</w:t>
      </w:r>
    </w:p>
    <w:p w14:paraId="7A7D9651" w14:textId="107D2BC3" w:rsidR="006479D1" w:rsidRDefault="00DC510D" w:rsidP="00D2790C">
      <w:pPr>
        <w:pStyle w:val="ListParagraph"/>
        <w:numPr>
          <w:ilvl w:val="0"/>
          <w:numId w:val="6"/>
        </w:numPr>
        <w:rPr>
          <w:sz w:val="24"/>
          <w:szCs w:val="32"/>
        </w:rPr>
      </w:pPr>
      <w:r>
        <w:rPr>
          <w:sz w:val="24"/>
          <w:szCs w:val="32"/>
        </w:rPr>
        <w:t>Oxidizing waste should not be placed in paper boxes for pickup. Use buckets or other vessels that are compatible with oxidizing material.</w:t>
      </w:r>
      <w:r w:rsidR="006479D1">
        <w:rPr>
          <w:sz w:val="24"/>
          <w:szCs w:val="32"/>
        </w:rPr>
        <w:t xml:space="preserve"> </w:t>
      </w:r>
    </w:p>
    <w:p w14:paraId="2E4DE073" w14:textId="77777777" w:rsidR="009C0B94" w:rsidRDefault="0035640C" w:rsidP="0035640C">
      <w:pPr>
        <w:pStyle w:val="ListParagraph"/>
        <w:numPr>
          <w:ilvl w:val="0"/>
          <w:numId w:val="6"/>
        </w:numPr>
        <w:spacing w:line="256" w:lineRule="auto"/>
        <w:rPr>
          <w:sz w:val="24"/>
          <w:szCs w:val="32"/>
        </w:rPr>
      </w:pPr>
      <w:r>
        <w:rPr>
          <w:sz w:val="24"/>
          <w:szCs w:val="32"/>
        </w:rPr>
        <w:t>More information on hazardous waste procedures and pick-up can be found here:</w:t>
      </w:r>
    </w:p>
    <w:p w14:paraId="07BB945C" w14:textId="52DA0DFA" w:rsidR="0035640C" w:rsidRDefault="00411DA3" w:rsidP="007A1C88">
      <w:pPr>
        <w:pStyle w:val="ListParagraph"/>
        <w:spacing w:line="256" w:lineRule="auto"/>
        <w:rPr>
          <w:sz w:val="24"/>
          <w:szCs w:val="32"/>
        </w:rPr>
      </w:pPr>
      <w:hyperlink r:id="rId9" w:history="1">
        <w:r w:rsidR="009C0B94" w:rsidRPr="009C0B94">
          <w:rPr>
            <w:color w:val="0000FF"/>
            <w:u w:val="single"/>
          </w:rPr>
          <w:t>https://dehs.umn.edu/hazardous-waste-disposal-procedures</w:t>
        </w:r>
      </w:hyperlink>
      <w:r w:rsidR="009C0B94">
        <w:t xml:space="preserve"> </w:t>
      </w:r>
    </w:p>
    <w:p w14:paraId="3E421935" w14:textId="09FCB2BE" w:rsidR="00E92DB8" w:rsidRDefault="00E92DB8" w:rsidP="002E0279">
      <w:pPr>
        <w:rPr>
          <w:i/>
          <w:sz w:val="24"/>
          <w:szCs w:val="32"/>
        </w:rPr>
      </w:pPr>
      <w:r w:rsidRPr="006479D1">
        <w:rPr>
          <w:sz w:val="24"/>
          <w:szCs w:val="32"/>
        </w:rPr>
        <w:t xml:space="preserve">In the </w:t>
      </w:r>
      <w:r w:rsidR="0074503B" w:rsidRPr="0074503B">
        <w:rPr>
          <w:sz w:val="24"/>
          <w:szCs w:val="32"/>
          <w:highlight w:val="yellow"/>
        </w:rPr>
        <w:t>Reynolds</w:t>
      </w:r>
      <w:r w:rsidRPr="0074503B">
        <w:rPr>
          <w:sz w:val="24"/>
          <w:szCs w:val="32"/>
          <w:highlight w:val="yellow"/>
        </w:rPr>
        <w:t xml:space="preserve"> lab</w:t>
      </w:r>
      <w:r w:rsidRPr="006479D1">
        <w:rPr>
          <w:sz w:val="24"/>
          <w:szCs w:val="32"/>
        </w:rPr>
        <w:t xml:space="preserve">, hazardous waste is stored: </w:t>
      </w:r>
      <w:r w:rsidR="006479D1" w:rsidRPr="006479D1">
        <w:rPr>
          <w:i/>
          <w:sz w:val="24"/>
          <w:szCs w:val="32"/>
          <w:highlight w:val="yellow"/>
        </w:rPr>
        <w:t>list the location of your hazardous waste storage area(s).</w:t>
      </w:r>
    </w:p>
    <w:sectPr w:rsidR="00E92DB8" w:rsidSect="0035640C">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26404" w14:textId="77777777" w:rsidR="00526897" w:rsidRDefault="00526897" w:rsidP="0035640C">
      <w:pPr>
        <w:spacing w:after="0" w:line="240" w:lineRule="auto"/>
      </w:pPr>
      <w:r>
        <w:separator/>
      </w:r>
    </w:p>
  </w:endnote>
  <w:endnote w:type="continuationSeparator" w:id="0">
    <w:p w14:paraId="74E6270D" w14:textId="77777777" w:rsidR="00526897" w:rsidRDefault="00526897" w:rsidP="00356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0A57F" w14:textId="77777777" w:rsidR="00526897" w:rsidRDefault="00526897" w:rsidP="0035640C">
      <w:pPr>
        <w:spacing w:after="0" w:line="240" w:lineRule="auto"/>
      </w:pPr>
      <w:r>
        <w:separator/>
      </w:r>
    </w:p>
  </w:footnote>
  <w:footnote w:type="continuationSeparator" w:id="0">
    <w:p w14:paraId="7846AC69" w14:textId="77777777" w:rsidR="00526897" w:rsidRDefault="00526897" w:rsidP="00356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FF26F" w14:textId="69F56254" w:rsidR="0035640C" w:rsidRDefault="0035640C">
    <w:pPr>
      <w:pStyle w:val="Header"/>
    </w:pPr>
    <w:r w:rsidRPr="0035640C">
      <w:rPr>
        <w:noProof/>
      </w:rPr>
      <mc:AlternateContent>
        <mc:Choice Requires="wps">
          <w:drawing>
            <wp:anchor distT="0" distB="0" distL="114300" distR="114300" simplePos="0" relativeHeight="251625472" behindDoc="0" locked="0" layoutInCell="1" allowOverlap="1" wp14:anchorId="184D18B9" wp14:editId="043D3286">
              <wp:simplePos x="0" y="0"/>
              <wp:positionH relativeFrom="column">
                <wp:posOffset>-361950</wp:posOffset>
              </wp:positionH>
              <wp:positionV relativeFrom="paragraph">
                <wp:posOffset>-285750</wp:posOffset>
              </wp:positionV>
              <wp:extent cx="6962775" cy="585470"/>
              <wp:effectExtent l="0" t="0" r="0" b="0"/>
              <wp:wrapNone/>
              <wp:docPr id="4" name="Rectangle 3"/>
              <wp:cNvGraphicFramePr/>
              <a:graphic xmlns:a="http://schemas.openxmlformats.org/drawingml/2006/main">
                <a:graphicData uri="http://schemas.microsoft.com/office/word/2010/wordprocessingShape">
                  <wps:wsp>
                    <wps:cNvSpPr/>
                    <wps:spPr>
                      <a:xfrm>
                        <a:off x="0" y="0"/>
                        <a:ext cx="6962775" cy="585470"/>
                      </a:xfrm>
                      <a:prstGeom prst="rect">
                        <a:avLst/>
                      </a:prstGeom>
                      <a:solidFill>
                        <a:srgbClr val="FFCC33"/>
                      </a:solidFill>
                      <a:ln w="25400" cap="flat" cmpd="sng" algn="ctr">
                        <a:noFill/>
                        <a:prstDash val="solid"/>
                      </a:ln>
                      <a:effectLst/>
                    </wps:spPr>
                    <wps:bodyPr rtlCol="0" anchor="ctr"/>
                  </wps:wsp>
                </a:graphicData>
              </a:graphic>
            </wp:anchor>
          </w:drawing>
        </mc:Choice>
        <mc:Fallback>
          <w:pict>
            <v:rect w14:anchorId="5D70BA31" id="Rectangle 3" o:spid="_x0000_s1026" style="position:absolute;margin-left:-28.5pt;margin-top:-22.5pt;width:548.25pt;height:46.1pt;z-index:25162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" fillcolor="#fc3" stroked="f" strokeweight="2pt"/>
          </w:pict>
        </mc:Fallback>
      </mc:AlternateContent>
    </w:r>
    <w:r w:rsidRPr="0035640C">
      <w:rPr>
        <w:noProof/>
      </w:rPr>
      <mc:AlternateContent>
        <mc:Choice Requires="wps">
          <w:drawing>
            <wp:anchor distT="0" distB="0" distL="114300" distR="114300" simplePos="0" relativeHeight="251688960" behindDoc="0" locked="0" layoutInCell="1" allowOverlap="1" wp14:anchorId="62AAA1E3" wp14:editId="3460E4FB">
              <wp:simplePos x="0" y="0"/>
              <wp:positionH relativeFrom="column">
                <wp:posOffset>-346075</wp:posOffset>
              </wp:positionH>
              <wp:positionV relativeFrom="paragraph">
                <wp:posOffset>-165735</wp:posOffset>
              </wp:positionV>
              <wp:extent cx="2926715" cy="356235"/>
              <wp:effectExtent l="0" t="0" r="0" b="0"/>
              <wp:wrapNone/>
              <wp:docPr id="5" name="TextBox 4"/>
              <wp:cNvGraphicFramePr/>
              <a:graphic xmlns:a="http://schemas.openxmlformats.org/drawingml/2006/main">
                <a:graphicData uri="http://schemas.microsoft.com/office/word/2010/wordprocessingShape">
                  <wps:wsp>
                    <wps:cNvSpPr txBox="1"/>
                    <wps:spPr>
                      <a:xfrm>
                        <a:off x="0" y="0"/>
                        <a:ext cx="2926715" cy="356235"/>
                      </a:xfrm>
                      <a:prstGeom prst="rect">
                        <a:avLst/>
                      </a:prstGeom>
                      <a:noFill/>
                    </wps:spPr>
                    <wps:txbx>
                      <w:txbxContent>
                        <w:p w14:paraId="6A745809" w14:textId="77777777" w:rsidR="0035640C" w:rsidRDefault="0035640C" w:rsidP="0035640C">
                          <w:pPr>
                            <w:spacing w:after="0"/>
                          </w:pPr>
                          <w:r>
                            <w:rPr>
                              <w:rFonts w:ascii="Gill Sans MT" w:eastAsia="Malgun Gothic" w:hAnsi="Gill Sans MT" w:cs="Lucida Sans Unicode"/>
                              <w:color w:val="7A0019"/>
                              <w:kern w:val="24"/>
                              <w:sz w:val="36"/>
                              <w:szCs w:val="36"/>
                            </w:rPr>
                            <w:t>University Health and Safety</w:t>
                          </w:r>
                        </w:p>
                      </w:txbxContent>
                    </wps:txbx>
                    <wps:bodyPr wrap="square" rtlCol="0">
                      <a:noAutofit/>
                    </wps:bodyPr>
                  </wps:wsp>
                </a:graphicData>
              </a:graphic>
            </wp:anchor>
          </w:drawing>
        </mc:Choice>
        <mc:Fallback>
          <w:pict>
            <v:shapetype w14:anchorId="62AAA1E3" id="_x0000_t202" coordsize="21600,21600" o:spt="202" path="m,l,21600r21600,l21600,xe">
              <v:stroke joinstyle="miter"/>
              <v:path gradientshapeok="t" o:connecttype="rect"/>
            </v:shapetype>
            <v:shape id="TextBox 4" o:spid="_x0000_s1026" type="#_x0000_t202" style="position:absolute;margin-left:-27.25pt;margin-top:-13.05pt;width:230.45pt;height:28.0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" filled="f" stroked="f">
              <v:textbox>
                <w:txbxContent>
                  <w:p w14:paraId="6A745809" w14:textId="77777777" w:rsidR="0035640C" w:rsidRDefault="0035640C" w:rsidP="0035640C">
                    <w:pPr>
                      <w:spacing w:after="0"/>
                    </w:pPr>
                    <w:r>
                      <w:rPr>
                        <w:rFonts w:ascii="Gill Sans MT" w:eastAsia="Malgun Gothic" w:hAnsi="Gill Sans MT" w:cs="Lucida Sans Unicode"/>
                        <w:color w:val="7A0019"/>
                        <w:kern w:val="24"/>
                        <w:sz w:val="36"/>
                        <w:szCs w:val="36"/>
                      </w:rPr>
                      <w:t>University Health and Safety</w:t>
                    </w:r>
                  </w:p>
                </w:txbxContent>
              </v:textbox>
            </v:shape>
          </w:pict>
        </mc:Fallback>
      </mc:AlternateContent>
    </w:r>
    <w:r w:rsidRPr="0035640C">
      <w:rPr>
        <w:noProof/>
      </w:rPr>
      <w:drawing>
        <wp:anchor distT="0" distB="0" distL="114300" distR="114300" simplePos="0" relativeHeight="251752448" behindDoc="0" locked="0" layoutInCell="1" allowOverlap="1" wp14:anchorId="0360C90D" wp14:editId="4FF991F3">
          <wp:simplePos x="0" y="0"/>
          <wp:positionH relativeFrom="column">
            <wp:posOffset>5541010</wp:posOffset>
          </wp:positionH>
          <wp:positionV relativeFrom="paragraph">
            <wp:posOffset>-239395</wp:posOffset>
          </wp:positionV>
          <wp:extent cx="930956" cy="502128"/>
          <wp:effectExtent l="0" t="0" r="0" b="0"/>
          <wp:wrapNone/>
          <wp:docPr id="6" name="Picture 3" descr="M2ou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M2out-RGB"/>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0956" cy="502128"/>
                  </a:xfrm>
                  <a:prstGeom prst="rect">
                    <a:avLst/>
                  </a:prstGeom>
                  <a:noFill/>
                  <a:ln>
                    <a:noFill/>
                  </a:ln>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57CB"/>
    <w:multiLevelType w:val="hybridMultilevel"/>
    <w:tmpl w:val="AF82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F3ABA"/>
    <w:multiLevelType w:val="hybridMultilevel"/>
    <w:tmpl w:val="7772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305BC"/>
    <w:multiLevelType w:val="hybridMultilevel"/>
    <w:tmpl w:val="AAA6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E518A"/>
    <w:multiLevelType w:val="hybridMultilevel"/>
    <w:tmpl w:val="187E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C286D"/>
    <w:multiLevelType w:val="hybridMultilevel"/>
    <w:tmpl w:val="2D6C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E1710"/>
    <w:multiLevelType w:val="hybridMultilevel"/>
    <w:tmpl w:val="FB90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47221"/>
    <w:multiLevelType w:val="hybridMultilevel"/>
    <w:tmpl w:val="7C22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2783E"/>
    <w:multiLevelType w:val="hybridMultilevel"/>
    <w:tmpl w:val="74FE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E2A75"/>
    <w:multiLevelType w:val="hybridMultilevel"/>
    <w:tmpl w:val="CDD8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8"/>
  </w:num>
  <w:num w:numId="6">
    <w:abstractNumId w:val="5"/>
  </w:num>
  <w:num w:numId="7">
    <w:abstractNumId w:val="7"/>
  </w:num>
  <w:num w:numId="8">
    <w:abstractNumId w:val="4"/>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YwNDYxNDYyMjc1trRU0lEKTi0uzszPAykwrgUAaI5stywAAAA="/>
  </w:docVars>
  <w:rsids>
    <w:rsidRoot w:val="00E11DB9"/>
    <w:rsid w:val="00017E99"/>
    <w:rsid w:val="00046BA6"/>
    <w:rsid w:val="001412C5"/>
    <w:rsid w:val="001620BD"/>
    <w:rsid w:val="001B5C6F"/>
    <w:rsid w:val="001C12D6"/>
    <w:rsid w:val="001C4672"/>
    <w:rsid w:val="001D0C0A"/>
    <w:rsid w:val="001E7383"/>
    <w:rsid w:val="00211378"/>
    <w:rsid w:val="00252EDC"/>
    <w:rsid w:val="00293378"/>
    <w:rsid w:val="002E0279"/>
    <w:rsid w:val="002E11AD"/>
    <w:rsid w:val="002E338A"/>
    <w:rsid w:val="003066B1"/>
    <w:rsid w:val="00314350"/>
    <w:rsid w:val="003268A5"/>
    <w:rsid w:val="0035640C"/>
    <w:rsid w:val="00367BAD"/>
    <w:rsid w:val="003B3E1A"/>
    <w:rsid w:val="003D2360"/>
    <w:rsid w:val="003E2BBD"/>
    <w:rsid w:val="003F2D91"/>
    <w:rsid w:val="004049C9"/>
    <w:rsid w:val="00411DA3"/>
    <w:rsid w:val="00462C2F"/>
    <w:rsid w:val="004857F2"/>
    <w:rsid w:val="0049623D"/>
    <w:rsid w:val="004B353F"/>
    <w:rsid w:val="004D1643"/>
    <w:rsid w:val="004D75E9"/>
    <w:rsid w:val="00503200"/>
    <w:rsid w:val="00525D7A"/>
    <w:rsid w:val="00526897"/>
    <w:rsid w:val="005518CA"/>
    <w:rsid w:val="00592FB1"/>
    <w:rsid w:val="005E25DB"/>
    <w:rsid w:val="005F548C"/>
    <w:rsid w:val="00611334"/>
    <w:rsid w:val="006479D1"/>
    <w:rsid w:val="006772FB"/>
    <w:rsid w:val="006B4CA1"/>
    <w:rsid w:val="006E1C07"/>
    <w:rsid w:val="00703B1B"/>
    <w:rsid w:val="007254F5"/>
    <w:rsid w:val="0073716B"/>
    <w:rsid w:val="0074503B"/>
    <w:rsid w:val="007653BB"/>
    <w:rsid w:val="007A1C88"/>
    <w:rsid w:val="007C7ECA"/>
    <w:rsid w:val="007F1948"/>
    <w:rsid w:val="008204BC"/>
    <w:rsid w:val="008263BC"/>
    <w:rsid w:val="00830E20"/>
    <w:rsid w:val="00831008"/>
    <w:rsid w:val="00841159"/>
    <w:rsid w:val="00867E3B"/>
    <w:rsid w:val="008A564A"/>
    <w:rsid w:val="008C0811"/>
    <w:rsid w:val="008C22C5"/>
    <w:rsid w:val="008D3D54"/>
    <w:rsid w:val="009A703E"/>
    <w:rsid w:val="009B3DAB"/>
    <w:rsid w:val="009C0B94"/>
    <w:rsid w:val="009E098C"/>
    <w:rsid w:val="00A11AEA"/>
    <w:rsid w:val="00A44872"/>
    <w:rsid w:val="00A74595"/>
    <w:rsid w:val="00AA5F92"/>
    <w:rsid w:val="00AB1C9D"/>
    <w:rsid w:val="00AC3910"/>
    <w:rsid w:val="00AF29E6"/>
    <w:rsid w:val="00B03D87"/>
    <w:rsid w:val="00B2777B"/>
    <w:rsid w:val="00B5551B"/>
    <w:rsid w:val="00C02B29"/>
    <w:rsid w:val="00C7346B"/>
    <w:rsid w:val="00CA35D8"/>
    <w:rsid w:val="00CB31A0"/>
    <w:rsid w:val="00CD4E84"/>
    <w:rsid w:val="00CF360C"/>
    <w:rsid w:val="00D2790C"/>
    <w:rsid w:val="00DC510D"/>
    <w:rsid w:val="00DC612D"/>
    <w:rsid w:val="00E11DB9"/>
    <w:rsid w:val="00E40AD4"/>
    <w:rsid w:val="00E42D48"/>
    <w:rsid w:val="00E43F80"/>
    <w:rsid w:val="00E51D1C"/>
    <w:rsid w:val="00E92DB8"/>
    <w:rsid w:val="00E97D11"/>
    <w:rsid w:val="00EA148D"/>
    <w:rsid w:val="00F043C1"/>
    <w:rsid w:val="00F15F73"/>
    <w:rsid w:val="00F2304B"/>
    <w:rsid w:val="00F44F4C"/>
    <w:rsid w:val="00F83008"/>
    <w:rsid w:val="00FE1DBE"/>
    <w:rsid w:val="00FE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442A"/>
  <w15:docId w15:val="{3866221F-36F5-4FE6-ABD6-4C0F7B8D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02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2EDC"/>
    <w:rPr>
      <w:sz w:val="16"/>
      <w:szCs w:val="16"/>
    </w:rPr>
  </w:style>
  <w:style w:type="paragraph" w:styleId="CommentText">
    <w:name w:val="annotation text"/>
    <w:basedOn w:val="Normal"/>
    <w:link w:val="CommentTextChar"/>
    <w:uiPriority w:val="99"/>
    <w:semiHidden/>
    <w:unhideWhenUsed/>
    <w:rsid w:val="00252EDC"/>
    <w:pPr>
      <w:spacing w:line="240" w:lineRule="auto"/>
    </w:pPr>
    <w:rPr>
      <w:sz w:val="20"/>
      <w:szCs w:val="20"/>
    </w:rPr>
  </w:style>
  <w:style w:type="character" w:customStyle="1" w:styleId="CommentTextChar">
    <w:name w:val="Comment Text Char"/>
    <w:basedOn w:val="DefaultParagraphFont"/>
    <w:link w:val="CommentText"/>
    <w:uiPriority w:val="99"/>
    <w:semiHidden/>
    <w:rsid w:val="00252EDC"/>
    <w:rPr>
      <w:sz w:val="20"/>
      <w:szCs w:val="20"/>
    </w:rPr>
  </w:style>
  <w:style w:type="paragraph" w:styleId="CommentSubject">
    <w:name w:val="annotation subject"/>
    <w:basedOn w:val="CommentText"/>
    <w:next w:val="CommentText"/>
    <w:link w:val="CommentSubjectChar"/>
    <w:uiPriority w:val="99"/>
    <w:semiHidden/>
    <w:unhideWhenUsed/>
    <w:rsid w:val="00252EDC"/>
    <w:rPr>
      <w:b/>
      <w:bCs/>
    </w:rPr>
  </w:style>
  <w:style w:type="character" w:customStyle="1" w:styleId="CommentSubjectChar">
    <w:name w:val="Comment Subject Char"/>
    <w:basedOn w:val="CommentTextChar"/>
    <w:link w:val="CommentSubject"/>
    <w:uiPriority w:val="99"/>
    <w:semiHidden/>
    <w:rsid w:val="00252EDC"/>
    <w:rPr>
      <w:b/>
      <w:bCs/>
      <w:sz w:val="20"/>
      <w:szCs w:val="20"/>
    </w:rPr>
  </w:style>
  <w:style w:type="paragraph" w:styleId="BalloonText">
    <w:name w:val="Balloon Text"/>
    <w:basedOn w:val="Normal"/>
    <w:link w:val="BalloonTextChar"/>
    <w:uiPriority w:val="99"/>
    <w:semiHidden/>
    <w:unhideWhenUsed/>
    <w:rsid w:val="00252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EDC"/>
    <w:rPr>
      <w:rFonts w:ascii="Segoe UI" w:hAnsi="Segoe UI" w:cs="Segoe UI"/>
      <w:sz w:val="18"/>
      <w:szCs w:val="18"/>
    </w:rPr>
  </w:style>
  <w:style w:type="paragraph" w:styleId="ListParagraph">
    <w:name w:val="List Paragraph"/>
    <w:basedOn w:val="Normal"/>
    <w:uiPriority w:val="34"/>
    <w:qFormat/>
    <w:rsid w:val="00252EDC"/>
    <w:pPr>
      <w:ind w:left="720"/>
      <w:contextualSpacing/>
    </w:pPr>
  </w:style>
  <w:style w:type="character" w:styleId="Hyperlink">
    <w:name w:val="Hyperlink"/>
    <w:basedOn w:val="DefaultParagraphFont"/>
    <w:uiPriority w:val="99"/>
    <w:unhideWhenUsed/>
    <w:rsid w:val="00D2790C"/>
    <w:rPr>
      <w:color w:val="0563C1" w:themeColor="hyperlink"/>
      <w:u w:val="single"/>
    </w:rPr>
  </w:style>
  <w:style w:type="paragraph" w:customStyle="1" w:styleId="Bullet">
    <w:name w:val="Bullet"/>
    <w:basedOn w:val="NoSpacing"/>
    <w:uiPriority w:val="99"/>
    <w:rsid w:val="00CD4E84"/>
    <w:pPr>
      <w:spacing w:before="60" w:after="60"/>
      <w:ind w:left="720" w:hanging="360"/>
    </w:pPr>
    <w:rPr>
      <w:rFonts w:ascii="Calibri" w:eastAsia="Calibri" w:hAnsi="Calibri" w:cs="Arial"/>
      <w:szCs w:val="20"/>
    </w:rPr>
  </w:style>
  <w:style w:type="paragraph" w:styleId="NoSpacing">
    <w:name w:val="No Spacing"/>
    <w:uiPriority w:val="1"/>
    <w:qFormat/>
    <w:rsid w:val="00CD4E84"/>
    <w:pPr>
      <w:spacing w:after="0" w:line="240" w:lineRule="auto"/>
    </w:pPr>
  </w:style>
  <w:style w:type="paragraph" w:styleId="Header">
    <w:name w:val="header"/>
    <w:basedOn w:val="Normal"/>
    <w:link w:val="HeaderChar"/>
    <w:uiPriority w:val="99"/>
    <w:unhideWhenUsed/>
    <w:rsid w:val="00356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40C"/>
  </w:style>
  <w:style w:type="paragraph" w:styleId="Footer">
    <w:name w:val="footer"/>
    <w:basedOn w:val="Normal"/>
    <w:link w:val="FooterChar"/>
    <w:uiPriority w:val="99"/>
    <w:unhideWhenUsed/>
    <w:rsid w:val="00356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40C"/>
  </w:style>
  <w:style w:type="character" w:styleId="FollowedHyperlink">
    <w:name w:val="FollowedHyperlink"/>
    <w:basedOn w:val="DefaultParagraphFont"/>
    <w:uiPriority w:val="99"/>
    <w:semiHidden/>
    <w:unhideWhenUsed/>
    <w:rsid w:val="00485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168208">
      <w:bodyDiv w:val="1"/>
      <w:marLeft w:val="0"/>
      <w:marRight w:val="0"/>
      <w:marTop w:val="0"/>
      <w:marBottom w:val="0"/>
      <w:divBdr>
        <w:top w:val="none" w:sz="0" w:space="0" w:color="auto"/>
        <w:left w:val="none" w:sz="0" w:space="0" w:color="auto"/>
        <w:bottom w:val="none" w:sz="0" w:space="0" w:color="auto"/>
        <w:right w:val="none" w:sz="0" w:space="0" w:color="auto"/>
      </w:divBdr>
    </w:div>
    <w:div w:id="176934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umn.edu/safetyfactshee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ehs.umn.edu/hazardous-waste-disposal-proced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Greenberg</dc:creator>
  <cp:lastModifiedBy>Joseph W Klancher</cp:lastModifiedBy>
  <cp:revision>4</cp:revision>
  <dcterms:created xsi:type="dcterms:W3CDTF">2019-11-21T21:24:00Z</dcterms:created>
  <dcterms:modified xsi:type="dcterms:W3CDTF">2019-11-21T22:55:00Z</dcterms:modified>
</cp:coreProperties>
</file>