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411D" w14:textId="1B047D55" w:rsidR="00EE1AE4" w:rsidRDefault="00EE1AE4" w:rsidP="00EE1AE4">
      <w:pPr>
        <w:jc w:val="center"/>
        <w:rPr>
          <w:b/>
          <w:sz w:val="28"/>
        </w:rPr>
      </w:pPr>
      <w:r w:rsidRPr="0049623D">
        <w:rPr>
          <w:b/>
          <w:sz w:val="32"/>
          <w:szCs w:val="32"/>
        </w:rPr>
        <w:t>Lab-Specific Standard Operating Procedure</w:t>
      </w:r>
      <w:r>
        <w:rPr>
          <w:b/>
          <w:sz w:val="32"/>
          <w:szCs w:val="32"/>
        </w:rPr>
        <w:t xml:space="preserve">s for General Hazard Classes: </w:t>
      </w:r>
      <w:r w:rsidR="004F1B77">
        <w:rPr>
          <w:b/>
          <w:sz w:val="32"/>
          <w:szCs w:val="32"/>
        </w:rPr>
        <w:t xml:space="preserve">Compressed </w:t>
      </w:r>
      <w:r>
        <w:rPr>
          <w:b/>
          <w:sz w:val="32"/>
          <w:szCs w:val="32"/>
        </w:rPr>
        <w:t>Gas Cylinders</w:t>
      </w:r>
    </w:p>
    <w:p w14:paraId="4D2723D4" w14:textId="77777777" w:rsidR="002A3B25" w:rsidRPr="00EA438C" w:rsidRDefault="002A3B25" w:rsidP="002A3B25">
      <w:pPr>
        <w:rPr>
          <w:b/>
          <w:sz w:val="28"/>
        </w:rPr>
      </w:pPr>
      <w:r>
        <w:rPr>
          <w:b/>
          <w:sz w:val="28"/>
        </w:rPr>
        <w:t xml:space="preserve">Introduction </w:t>
      </w:r>
    </w:p>
    <w:p w14:paraId="71965328" w14:textId="4F492145" w:rsidR="002A3B25" w:rsidRPr="00F60929" w:rsidRDefault="002A3B25" w:rsidP="002A3B25">
      <w:pPr>
        <w:rPr>
          <w:sz w:val="24"/>
          <w:szCs w:val="24"/>
        </w:rPr>
      </w:pPr>
      <w:r w:rsidRPr="00F60929">
        <w:rPr>
          <w:sz w:val="24"/>
          <w:szCs w:val="24"/>
        </w:rPr>
        <w:t>The hazard class Standard Operating P</w:t>
      </w:r>
      <w:r w:rsidR="008E5D08">
        <w:rPr>
          <w:sz w:val="24"/>
          <w:szCs w:val="24"/>
        </w:rPr>
        <w:t>rocedures (SOPs) provided by University Health and Safety (UHS</w:t>
      </w:r>
      <w:r w:rsidRPr="00F60929">
        <w:rPr>
          <w:sz w:val="24"/>
          <w:szCs w:val="24"/>
        </w:rPr>
        <w:t xml:space="preserve">) are </w:t>
      </w:r>
      <w:r>
        <w:rPr>
          <w:sz w:val="24"/>
          <w:szCs w:val="24"/>
        </w:rPr>
        <w:t>i</w:t>
      </w:r>
      <w:r w:rsidRPr="00F60929">
        <w:rPr>
          <w:sz w:val="24"/>
          <w:szCs w:val="24"/>
        </w:rPr>
        <w:t xml:space="preserve">ntended </w:t>
      </w:r>
      <w:r>
        <w:rPr>
          <w:sz w:val="24"/>
          <w:szCs w:val="24"/>
        </w:rPr>
        <w:t xml:space="preserve">as a voluntary resource </w:t>
      </w:r>
      <w:r w:rsidRPr="00F60929">
        <w:rPr>
          <w:sz w:val="24"/>
          <w:szCs w:val="24"/>
        </w:rPr>
        <w:t>to provide general guidance on how to work with these materials and to provide a template for laboratories to customize to fit their needs.</w:t>
      </w:r>
    </w:p>
    <w:p w14:paraId="2F0108E3" w14:textId="77777777" w:rsidR="002A3B25" w:rsidRDefault="002A3B25" w:rsidP="002A3B25">
      <w:pPr>
        <w:rPr>
          <w:sz w:val="24"/>
          <w:szCs w:val="24"/>
        </w:rPr>
      </w:pPr>
      <w:r w:rsidRPr="00F60929">
        <w:rPr>
          <w:sz w:val="24"/>
          <w:szCs w:val="24"/>
        </w:rPr>
        <w:t xml:space="preserve">These SOPs </w:t>
      </w:r>
      <w:r>
        <w:rPr>
          <w:sz w:val="24"/>
          <w:szCs w:val="24"/>
        </w:rPr>
        <w:t xml:space="preserve">templates </w:t>
      </w:r>
      <w:r w:rsidRPr="00F60929">
        <w:rPr>
          <w:sz w:val="24"/>
          <w:szCs w:val="24"/>
        </w:rPr>
        <w:t xml:space="preserve">should be used for materials with one hazard class </w:t>
      </w:r>
      <w:r>
        <w:rPr>
          <w:sz w:val="24"/>
          <w:szCs w:val="24"/>
        </w:rPr>
        <w:t>and</w:t>
      </w:r>
      <w:r w:rsidRPr="00F60929">
        <w:rPr>
          <w:sz w:val="24"/>
          <w:szCs w:val="24"/>
        </w:rPr>
        <w:t xml:space="preserve"> for procedures </w:t>
      </w:r>
      <w:r>
        <w:rPr>
          <w:sz w:val="24"/>
          <w:szCs w:val="24"/>
        </w:rPr>
        <w:t>and</w:t>
      </w:r>
      <w:r w:rsidRPr="00F60929">
        <w:rPr>
          <w:sz w:val="24"/>
          <w:szCs w:val="24"/>
        </w:rPr>
        <w:t xml:space="preserve"> materials requir</w:t>
      </w:r>
      <w:r>
        <w:rPr>
          <w:sz w:val="24"/>
          <w:szCs w:val="24"/>
        </w:rPr>
        <w:t xml:space="preserve">ing only basic </w:t>
      </w:r>
      <w:r w:rsidRPr="00F60929">
        <w:rPr>
          <w:sz w:val="24"/>
          <w:szCs w:val="24"/>
        </w:rPr>
        <w:t>PPE</w:t>
      </w:r>
      <w:r>
        <w:rPr>
          <w:sz w:val="24"/>
          <w:szCs w:val="24"/>
        </w:rPr>
        <w:t xml:space="preserve"> (i.e., lab coats, goggles, and nitrile gloves). </w:t>
      </w:r>
      <w:r w:rsidRPr="00F60929">
        <w:rPr>
          <w:sz w:val="24"/>
          <w:szCs w:val="24"/>
        </w:rPr>
        <w:t xml:space="preserve"> </w:t>
      </w:r>
    </w:p>
    <w:p w14:paraId="55BEC0C2" w14:textId="77777777" w:rsidR="002A3B25" w:rsidRPr="00177CBA" w:rsidRDefault="002A3B25" w:rsidP="002A3B25">
      <w:pPr>
        <w:rPr>
          <w:sz w:val="24"/>
          <w:szCs w:val="24"/>
        </w:rPr>
      </w:pPr>
      <w:r>
        <w:rPr>
          <w:sz w:val="24"/>
          <w:szCs w:val="24"/>
        </w:rPr>
        <w:t>For more complex procedures and materials with multiple hazards these templates can be used</w:t>
      </w:r>
      <w:r w:rsidRPr="00F60929">
        <w:rPr>
          <w:sz w:val="24"/>
          <w:szCs w:val="24"/>
        </w:rPr>
        <w:t xml:space="preserve"> as guidance </w:t>
      </w:r>
      <w:r>
        <w:rPr>
          <w:sz w:val="24"/>
          <w:szCs w:val="24"/>
        </w:rPr>
        <w:t>when conducting</w:t>
      </w:r>
      <w:r w:rsidRPr="00F60929">
        <w:rPr>
          <w:sz w:val="24"/>
          <w:szCs w:val="24"/>
        </w:rPr>
        <w:t xml:space="preserve"> your lab’s own risk assessment, </w:t>
      </w:r>
      <w:r>
        <w:rPr>
          <w:sz w:val="24"/>
          <w:szCs w:val="24"/>
        </w:rPr>
        <w:t xml:space="preserve">and writing procedure specific </w:t>
      </w:r>
      <w:r w:rsidRPr="00177CBA">
        <w:rPr>
          <w:sz w:val="24"/>
          <w:szCs w:val="24"/>
        </w:rPr>
        <w:t xml:space="preserve">SOPs.  </w:t>
      </w:r>
    </w:p>
    <w:p w14:paraId="11F5B995" w14:textId="6784389D" w:rsidR="002A3B25" w:rsidRPr="00F60929" w:rsidRDefault="002A3B25" w:rsidP="002A3B25">
      <w:pPr>
        <w:spacing w:line="240" w:lineRule="auto"/>
        <w:rPr>
          <w:sz w:val="24"/>
          <w:szCs w:val="24"/>
        </w:rPr>
      </w:pPr>
      <w:r w:rsidRPr="008F7815">
        <w:rPr>
          <w:sz w:val="24"/>
          <w:szCs w:val="24"/>
        </w:rPr>
        <w:t xml:space="preserve">If you have any questions about writing Standard Operating Procedures, chemical safety, hazard assessment, or any other research safety questions, </w:t>
      </w:r>
      <w:r w:rsidRPr="00ED23D5">
        <w:rPr>
          <w:sz w:val="24"/>
          <w:szCs w:val="24"/>
        </w:rPr>
        <w:t xml:space="preserve">contact your Departmental Safety Officer (DSO) </w:t>
      </w:r>
      <w:r>
        <w:rPr>
          <w:sz w:val="24"/>
          <w:szCs w:val="24"/>
        </w:rPr>
        <w:t xml:space="preserve">or call your </w:t>
      </w:r>
      <w:r w:rsidR="008E5D08">
        <w:rPr>
          <w:sz w:val="24"/>
          <w:szCs w:val="24"/>
        </w:rPr>
        <w:t>UHS</w:t>
      </w:r>
      <w:r>
        <w:rPr>
          <w:sz w:val="24"/>
          <w:szCs w:val="24"/>
        </w:rPr>
        <w:t xml:space="preserve"> Research Safety Professional</w:t>
      </w:r>
      <w:r w:rsidRPr="008F7815">
        <w:rPr>
          <w:sz w:val="24"/>
          <w:szCs w:val="24"/>
        </w:rPr>
        <w:t xml:space="preserve"> (612) 626-6002. </w:t>
      </w:r>
    </w:p>
    <w:p w14:paraId="1ADD3A36" w14:textId="77777777" w:rsidR="002A3B25" w:rsidRPr="00EA438C" w:rsidRDefault="002A3B25" w:rsidP="002A3B25">
      <w:pPr>
        <w:rPr>
          <w:b/>
          <w:sz w:val="28"/>
        </w:rPr>
      </w:pPr>
      <w:r w:rsidRPr="00EA438C">
        <w:rPr>
          <w:b/>
          <w:sz w:val="28"/>
        </w:rPr>
        <w:t>Instructions</w:t>
      </w:r>
    </w:p>
    <w:p w14:paraId="340EDC1F" w14:textId="77777777" w:rsidR="002A3B25" w:rsidRPr="00F60929" w:rsidRDefault="002A3B25" w:rsidP="002A3B25">
      <w:pPr>
        <w:rPr>
          <w:sz w:val="24"/>
          <w:szCs w:val="24"/>
        </w:rPr>
      </w:pPr>
      <w:r w:rsidRPr="00F60929">
        <w:rPr>
          <w:sz w:val="24"/>
          <w:szCs w:val="24"/>
        </w:rPr>
        <w:t xml:space="preserve">All text or spaces in yellow are intended for customization by your laboratory. Fill in the information needed, customized for your lab’s accepted practices, materials used, available resources, etc. Consider which materials your lab uses in the hazard class, and what your lab is experienced with and feels comfortable handling. You can also add any specific information, best practices, or other lab-specific information you would like. </w:t>
      </w:r>
    </w:p>
    <w:p w14:paraId="391F5513" w14:textId="10322AAC" w:rsidR="002A3B25" w:rsidRPr="00F60929" w:rsidRDefault="002A3B25" w:rsidP="002A3B25">
      <w:pPr>
        <w:rPr>
          <w:sz w:val="24"/>
          <w:szCs w:val="24"/>
        </w:rPr>
      </w:pPr>
      <w:r w:rsidRPr="00F60929">
        <w:rPr>
          <w:sz w:val="24"/>
          <w:szCs w:val="24"/>
        </w:rPr>
        <w:t xml:space="preserve">If you are unsure if a specific material or procedure requires its own SOP, contact </w:t>
      </w:r>
      <w:r w:rsidR="008E5D08">
        <w:rPr>
          <w:sz w:val="24"/>
          <w:szCs w:val="24"/>
        </w:rPr>
        <w:t>UHS</w:t>
      </w:r>
      <w:r w:rsidRPr="00F60929">
        <w:rPr>
          <w:sz w:val="24"/>
          <w:szCs w:val="24"/>
        </w:rPr>
        <w:t xml:space="preserve"> for guidance. </w:t>
      </w:r>
    </w:p>
    <w:p w14:paraId="020F7C25" w14:textId="77777777" w:rsidR="002A3B25" w:rsidRDefault="002A3B25" w:rsidP="002A3B25">
      <w:pPr>
        <w:rPr>
          <w:sz w:val="24"/>
          <w:szCs w:val="24"/>
        </w:rPr>
      </w:pPr>
      <w:r w:rsidRPr="00F60929">
        <w:rPr>
          <w:sz w:val="24"/>
          <w:szCs w:val="24"/>
        </w:rPr>
        <w:t xml:space="preserve">When complete, ensure the SOP is approved by the lab’s PI and added to your lab’s safety </w:t>
      </w:r>
      <w:r>
        <w:rPr>
          <w:sz w:val="24"/>
          <w:szCs w:val="24"/>
        </w:rPr>
        <w:t xml:space="preserve">manual and annual </w:t>
      </w:r>
      <w:r w:rsidRPr="00F60929">
        <w:rPr>
          <w:sz w:val="24"/>
          <w:szCs w:val="24"/>
        </w:rPr>
        <w:t>training. SOPs should be reviewed with all lab members annually, and should be reviewed and updated at a minimum of every 3 years.</w:t>
      </w:r>
    </w:p>
    <w:p w14:paraId="284B7C17" w14:textId="77777777" w:rsidR="00EE1AE4" w:rsidRDefault="00EE1AE4" w:rsidP="002E0279">
      <w:pPr>
        <w:jc w:val="center"/>
        <w:rPr>
          <w:b/>
          <w:sz w:val="32"/>
          <w:szCs w:val="32"/>
        </w:rPr>
      </w:pPr>
    </w:p>
    <w:p w14:paraId="61F1F340" w14:textId="77777777" w:rsidR="00EE1AE4" w:rsidRDefault="00EE1AE4" w:rsidP="002E0279">
      <w:pPr>
        <w:jc w:val="center"/>
        <w:rPr>
          <w:b/>
          <w:sz w:val="32"/>
          <w:szCs w:val="32"/>
        </w:rPr>
      </w:pPr>
    </w:p>
    <w:p w14:paraId="766D78B9" w14:textId="77777777" w:rsidR="00AC3011" w:rsidRDefault="00AC3011" w:rsidP="002E0279">
      <w:pPr>
        <w:jc w:val="center"/>
        <w:rPr>
          <w:b/>
          <w:sz w:val="32"/>
          <w:szCs w:val="32"/>
        </w:rPr>
      </w:pPr>
    </w:p>
    <w:p w14:paraId="60BD3E4D" w14:textId="77777777" w:rsidR="00AC3011" w:rsidRDefault="00AC3011" w:rsidP="002E0279">
      <w:pPr>
        <w:jc w:val="center"/>
        <w:rPr>
          <w:b/>
          <w:sz w:val="32"/>
          <w:szCs w:val="32"/>
        </w:rPr>
      </w:pPr>
    </w:p>
    <w:p w14:paraId="570BFBCB" w14:textId="77777777" w:rsidR="00AC3011" w:rsidRDefault="00AC3011" w:rsidP="002E0279">
      <w:pPr>
        <w:jc w:val="center"/>
        <w:rPr>
          <w:b/>
          <w:sz w:val="32"/>
          <w:szCs w:val="32"/>
        </w:rPr>
      </w:pPr>
      <w:bookmarkStart w:id="0" w:name="_GoBack"/>
      <w:bookmarkEnd w:id="0"/>
    </w:p>
    <w:p w14:paraId="038F9889" w14:textId="5549B46F" w:rsidR="007254F5" w:rsidRPr="0049623D" w:rsidRDefault="001412C5" w:rsidP="002E0279">
      <w:pPr>
        <w:jc w:val="center"/>
        <w:rPr>
          <w:b/>
          <w:sz w:val="32"/>
          <w:szCs w:val="32"/>
        </w:rPr>
      </w:pPr>
      <w:r w:rsidRPr="0049623D">
        <w:rPr>
          <w:b/>
          <w:sz w:val="32"/>
          <w:szCs w:val="32"/>
        </w:rPr>
        <w:lastRenderedPageBreak/>
        <w:t xml:space="preserve">Lab-Specific </w:t>
      </w:r>
      <w:r w:rsidR="002E0279" w:rsidRPr="0049623D">
        <w:rPr>
          <w:b/>
          <w:sz w:val="32"/>
          <w:szCs w:val="32"/>
        </w:rPr>
        <w:t>Standard Operating Procedure</w:t>
      </w:r>
    </w:p>
    <w:p w14:paraId="36DB7F29" w14:textId="2179A94A" w:rsidR="002E0279" w:rsidRPr="0049623D" w:rsidRDefault="002E0279" w:rsidP="002E0279">
      <w:pPr>
        <w:spacing w:after="360"/>
        <w:jc w:val="center"/>
        <w:rPr>
          <w:b/>
          <w:sz w:val="32"/>
          <w:szCs w:val="32"/>
        </w:rPr>
      </w:pPr>
      <w:r w:rsidRPr="0049623D">
        <w:rPr>
          <w:b/>
          <w:sz w:val="32"/>
          <w:szCs w:val="32"/>
        </w:rPr>
        <w:t xml:space="preserve">Safe Use and Handling of </w:t>
      </w:r>
      <w:r w:rsidR="004F1B77">
        <w:rPr>
          <w:b/>
          <w:sz w:val="32"/>
          <w:szCs w:val="32"/>
        </w:rPr>
        <w:t xml:space="preserve">Compressed </w:t>
      </w:r>
      <w:r w:rsidR="0018777E">
        <w:rPr>
          <w:b/>
          <w:sz w:val="32"/>
          <w:szCs w:val="32"/>
        </w:rPr>
        <w:t>Gas Cylinders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5"/>
        <w:gridCol w:w="1980"/>
        <w:gridCol w:w="2690"/>
      </w:tblGrid>
      <w:tr w:rsidR="002E0279" w:rsidRPr="0049623D" w14:paraId="1A7D7875" w14:textId="77777777" w:rsidTr="002E0279">
        <w:trPr>
          <w:jc w:val="center"/>
        </w:trPr>
        <w:tc>
          <w:tcPr>
            <w:tcW w:w="1705" w:type="dxa"/>
          </w:tcPr>
          <w:p w14:paraId="1DAA1500"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PI:</w:t>
            </w:r>
          </w:p>
        </w:tc>
        <w:tc>
          <w:tcPr>
            <w:tcW w:w="2255" w:type="dxa"/>
            <w:tcBorders>
              <w:bottom w:val="single" w:sz="4" w:space="0" w:color="auto"/>
            </w:tcBorders>
          </w:tcPr>
          <w:p w14:paraId="20F450F5" w14:textId="058B6962" w:rsidR="002E0279" w:rsidRPr="0049623D" w:rsidRDefault="00C73455" w:rsidP="00B054D6">
            <w:pPr>
              <w:rPr>
                <w:rFonts w:asciiTheme="minorHAnsi" w:hAnsiTheme="minorHAnsi"/>
                <w:i/>
                <w:sz w:val="28"/>
                <w:szCs w:val="28"/>
                <w:highlight w:val="yellow"/>
              </w:rPr>
            </w:pPr>
            <w:proofErr w:type="spellStart"/>
            <w:r>
              <w:rPr>
                <w:rFonts w:asciiTheme="minorHAnsi" w:hAnsiTheme="minorHAnsi"/>
                <w:i/>
                <w:sz w:val="28"/>
                <w:szCs w:val="28"/>
                <w:highlight w:val="yellow"/>
              </w:rPr>
              <w:t>Knope</w:t>
            </w:r>
            <w:proofErr w:type="spellEnd"/>
            <w:r>
              <w:rPr>
                <w:rFonts w:asciiTheme="minorHAnsi" w:hAnsiTheme="minorHAnsi"/>
                <w:i/>
                <w:sz w:val="28"/>
                <w:szCs w:val="28"/>
                <w:highlight w:val="yellow"/>
              </w:rPr>
              <w:t>, L.</w:t>
            </w:r>
          </w:p>
        </w:tc>
        <w:tc>
          <w:tcPr>
            <w:tcW w:w="1980" w:type="dxa"/>
          </w:tcPr>
          <w:p w14:paraId="57D28412"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Lab Location:</w:t>
            </w:r>
          </w:p>
        </w:tc>
        <w:tc>
          <w:tcPr>
            <w:tcW w:w="2690" w:type="dxa"/>
            <w:tcBorders>
              <w:bottom w:val="single" w:sz="4" w:space="0" w:color="auto"/>
            </w:tcBorders>
          </w:tcPr>
          <w:p w14:paraId="422181CD" w14:textId="77777777" w:rsidR="002E0279" w:rsidRPr="0049623D" w:rsidRDefault="002E0279" w:rsidP="00B054D6">
            <w:pPr>
              <w:jc w:val="both"/>
              <w:rPr>
                <w:rFonts w:asciiTheme="minorHAnsi" w:hAnsiTheme="minorHAnsi"/>
                <w:i/>
                <w:sz w:val="28"/>
                <w:szCs w:val="28"/>
                <w:highlight w:val="yellow"/>
              </w:rPr>
            </w:pPr>
            <w:r w:rsidRPr="0049623D">
              <w:rPr>
                <w:rFonts w:asciiTheme="minorHAnsi" w:hAnsiTheme="minorHAnsi"/>
                <w:i/>
                <w:sz w:val="28"/>
                <w:szCs w:val="28"/>
                <w:highlight w:val="yellow"/>
              </w:rPr>
              <w:t>Boynton W-132</w:t>
            </w:r>
          </w:p>
        </w:tc>
      </w:tr>
      <w:tr w:rsidR="002E0279" w:rsidRPr="0049623D" w14:paraId="7A56A4B9" w14:textId="77777777" w:rsidTr="002E0279">
        <w:trPr>
          <w:jc w:val="center"/>
        </w:trPr>
        <w:tc>
          <w:tcPr>
            <w:tcW w:w="1705" w:type="dxa"/>
          </w:tcPr>
          <w:p w14:paraId="5A82D1F5"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Issue Date:</w:t>
            </w:r>
          </w:p>
        </w:tc>
        <w:tc>
          <w:tcPr>
            <w:tcW w:w="2255" w:type="dxa"/>
            <w:tcBorders>
              <w:top w:val="single" w:sz="4" w:space="0" w:color="auto"/>
              <w:bottom w:val="single" w:sz="4" w:space="0" w:color="auto"/>
            </w:tcBorders>
          </w:tcPr>
          <w:p w14:paraId="67BD7958" w14:textId="5CFFD0C5" w:rsidR="002E0279" w:rsidRPr="0049623D" w:rsidRDefault="002E0279" w:rsidP="004F1B77">
            <w:pPr>
              <w:rPr>
                <w:rFonts w:asciiTheme="minorHAnsi" w:hAnsiTheme="minorHAnsi"/>
                <w:i/>
                <w:sz w:val="28"/>
                <w:szCs w:val="28"/>
                <w:highlight w:val="yellow"/>
              </w:rPr>
            </w:pPr>
            <w:r w:rsidRPr="0049623D">
              <w:rPr>
                <w:rFonts w:asciiTheme="minorHAnsi" w:hAnsiTheme="minorHAnsi"/>
                <w:i/>
                <w:sz w:val="28"/>
                <w:szCs w:val="28"/>
                <w:highlight w:val="yellow"/>
              </w:rPr>
              <w:t>9/12/201</w:t>
            </w:r>
            <w:r w:rsidR="004F1B77">
              <w:rPr>
                <w:rFonts w:asciiTheme="minorHAnsi" w:hAnsiTheme="minorHAnsi"/>
                <w:i/>
                <w:sz w:val="28"/>
                <w:szCs w:val="28"/>
                <w:highlight w:val="yellow"/>
              </w:rPr>
              <w:t>6</w:t>
            </w:r>
          </w:p>
        </w:tc>
        <w:tc>
          <w:tcPr>
            <w:tcW w:w="1980" w:type="dxa"/>
          </w:tcPr>
          <w:p w14:paraId="6AE520E6"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Revision Date:</w:t>
            </w:r>
          </w:p>
        </w:tc>
        <w:tc>
          <w:tcPr>
            <w:tcW w:w="2690" w:type="dxa"/>
            <w:tcBorders>
              <w:top w:val="single" w:sz="4" w:space="0" w:color="auto"/>
              <w:bottom w:val="single" w:sz="4" w:space="0" w:color="auto"/>
            </w:tcBorders>
          </w:tcPr>
          <w:p w14:paraId="732C0206" w14:textId="6253E447" w:rsidR="002E0279" w:rsidRPr="0049623D" w:rsidRDefault="002E0279" w:rsidP="008E5D08">
            <w:pPr>
              <w:jc w:val="both"/>
              <w:rPr>
                <w:rFonts w:asciiTheme="minorHAnsi" w:hAnsiTheme="minorHAnsi"/>
                <w:i/>
                <w:sz w:val="28"/>
                <w:szCs w:val="28"/>
                <w:highlight w:val="yellow"/>
              </w:rPr>
            </w:pPr>
            <w:r w:rsidRPr="0049623D">
              <w:rPr>
                <w:rFonts w:asciiTheme="minorHAnsi" w:hAnsiTheme="minorHAnsi"/>
                <w:i/>
                <w:sz w:val="28"/>
                <w:szCs w:val="28"/>
                <w:highlight w:val="yellow"/>
              </w:rPr>
              <w:t>9/12/201</w:t>
            </w:r>
            <w:r w:rsidR="00D16EC8">
              <w:rPr>
                <w:rFonts w:asciiTheme="minorHAnsi" w:hAnsiTheme="minorHAnsi"/>
                <w:i/>
                <w:sz w:val="28"/>
                <w:szCs w:val="28"/>
                <w:highlight w:val="yellow"/>
              </w:rPr>
              <w:t>9</w:t>
            </w:r>
          </w:p>
        </w:tc>
      </w:tr>
      <w:tr w:rsidR="002E0279" w:rsidRPr="0049623D" w14:paraId="130AB7E1" w14:textId="77777777" w:rsidTr="002E0279">
        <w:trPr>
          <w:jc w:val="center"/>
        </w:trPr>
        <w:tc>
          <w:tcPr>
            <w:tcW w:w="1705" w:type="dxa"/>
          </w:tcPr>
          <w:p w14:paraId="68FA59D8"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Prepared by:</w:t>
            </w:r>
          </w:p>
        </w:tc>
        <w:tc>
          <w:tcPr>
            <w:tcW w:w="2255" w:type="dxa"/>
            <w:tcBorders>
              <w:top w:val="single" w:sz="4" w:space="0" w:color="auto"/>
              <w:bottom w:val="single" w:sz="4" w:space="0" w:color="auto"/>
            </w:tcBorders>
          </w:tcPr>
          <w:p w14:paraId="6755B16C" w14:textId="257DD89C" w:rsidR="002E0279" w:rsidRPr="0049623D" w:rsidRDefault="00C73455" w:rsidP="00B054D6">
            <w:pPr>
              <w:rPr>
                <w:rFonts w:asciiTheme="minorHAnsi" w:hAnsiTheme="minorHAnsi"/>
                <w:i/>
                <w:sz w:val="28"/>
                <w:szCs w:val="28"/>
                <w:highlight w:val="yellow"/>
              </w:rPr>
            </w:pPr>
            <w:r>
              <w:rPr>
                <w:rFonts w:asciiTheme="minorHAnsi" w:hAnsiTheme="minorHAnsi"/>
                <w:i/>
                <w:sz w:val="28"/>
                <w:szCs w:val="28"/>
                <w:highlight w:val="yellow"/>
              </w:rPr>
              <w:t>Wyatt, B.</w:t>
            </w:r>
          </w:p>
        </w:tc>
        <w:tc>
          <w:tcPr>
            <w:tcW w:w="1980" w:type="dxa"/>
          </w:tcPr>
          <w:p w14:paraId="5D846309"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Approved by:</w:t>
            </w:r>
          </w:p>
        </w:tc>
        <w:tc>
          <w:tcPr>
            <w:tcW w:w="2690" w:type="dxa"/>
            <w:tcBorders>
              <w:top w:val="single" w:sz="4" w:space="0" w:color="auto"/>
              <w:bottom w:val="single" w:sz="4" w:space="0" w:color="auto"/>
            </w:tcBorders>
          </w:tcPr>
          <w:p w14:paraId="3AD83234" w14:textId="532FD6AE" w:rsidR="002E0279" w:rsidRPr="0049623D" w:rsidRDefault="00C73455" w:rsidP="00B054D6">
            <w:pPr>
              <w:jc w:val="both"/>
              <w:rPr>
                <w:rFonts w:asciiTheme="minorHAnsi" w:hAnsiTheme="minorHAnsi"/>
                <w:i/>
                <w:sz w:val="28"/>
                <w:szCs w:val="28"/>
                <w:highlight w:val="yellow"/>
              </w:rPr>
            </w:pPr>
            <w:r>
              <w:rPr>
                <w:rFonts w:asciiTheme="minorHAnsi" w:hAnsiTheme="minorHAnsi"/>
                <w:i/>
                <w:sz w:val="28"/>
                <w:szCs w:val="28"/>
                <w:highlight w:val="yellow"/>
              </w:rPr>
              <w:t>Perkins, A.</w:t>
            </w:r>
          </w:p>
        </w:tc>
      </w:tr>
    </w:tbl>
    <w:p w14:paraId="1D3CF50D" w14:textId="77777777" w:rsidR="002E0279" w:rsidRPr="0049623D" w:rsidRDefault="002E0279" w:rsidP="002E0279">
      <w:pPr>
        <w:jc w:val="center"/>
        <w:rPr>
          <w:b/>
          <w:sz w:val="32"/>
          <w:szCs w:val="32"/>
        </w:rPr>
      </w:pPr>
    </w:p>
    <w:p w14:paraId="2A72F5AA" w14:textId="77777777" w:rsidR="002E0279" w:rsidRPr="0049623D" w:rsidRDefault="00252EDC" w:rsidP="002E0279">
      <w:pPr>
        <w:rPr>
          <w:b/>
          <w:i/>
          <w:sz w:val="28"/>
          <w:szCs w:val="32"/>
        </w:rPr>
      </w:pPr>
      <w:r w:rsidRPr="0049623D">
        <w:rPr>
          <w:noProof/>
          <w:sz w:val="24"/>
          <w:szCs w:val="32"/>
        </w:rPr>
        <w:drawing>
          <wp:anchor distT="0" distB="0" distL="114300" distR="114300" simplePos="0" relativeHeight="251658240" behindDoc="0" locked="0" layoutInCell="1" allowOverlap="1" wp14:anchorId="6EA9393F" wp14:editId="38DCFA2A">
            <wp:simplePos x="0" y="0"/>
            <wp:positionH relativeFrom="column">
              <wp:posOffset>5448300</wp:posOffset>
            </wp:positionH>
            <wp:positionV relativeFrom="paragraph">
              <wp:posOffset>228600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ma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E0279" w:rsidRPr="0049623D">
        <w:rPr>
          <w:b/>
          <w:i/>
          <w:sz w:val="28"/>
          <w:szCs w:val="32"/>
        </w:rPr>
        <w:t>Hazard Identification</w:t>
      </w:r>
    </w:p>
    <w:p w14:paraId="17473967" w14:textId="624DF106" w:rsidR="00252EDC" w:rsidRPr="0049623D" w:rsidRDefault="0018777E" w:rsidP="0018777E">
      <w:pPr>
        <w:rPr>
          <w:sz w:val="24"/>
          <w:szCs w:val="32"/>
        </w:rPr>
      </w:pPr>
      <w:r>
        <w:rPr>
          <w:sz w:val="24"/>
          <w:szCs w:val="32"/>
        </w:rPr>
        <w:t>All gas cylinders must be labeled at a minimum with the name of the contents and the word “Compressed Gases” or the GHS pictogram for gases under pressure, pictured to the right.</w:t>
      </w:r>
      <w:r w:rsidR="00252EDC" w:rsidRPr="0049623D">
        <w:rPr>
          <w:sz w:val="24"/>
          <w:szCs w:val="32"/>
        </w:rPr>
        <w:t xml:space="preserve"> Information on the hazards of specific materials can be found in their SDS.</w:t>
      </w:r>
    </w:p>
    <w:p w14:paraId="2271D234" w14:textId="3559B0F1" w:rsidR="002E0279" w:rsidRPr="0049623D" w:rsidRDefault="00611334" w:rsidP="002E0279">
      <w:pPr>
        <w:rPr>
          <w:sz w:val="24"/>
          <w:szCs w:val="32"/>
        </w:rPr>
      </w:pPr>
      <w:r w:rsidRPr="0049623D">
        <w:rPr>
          <w:sz w:val="24"/>
          <w:szCs w:val="32"/>
        </w:rPr>
        <w:t>E</w:t>
      </w:r>
      <w:r w:rsidR="0018777E">
        <w:rPr>
          <w:sz w:val="24"/>
          <w:szCs w:val="32"/>
        </w:rPr>
        <w:t>xamples of gas cylinders</w:t>
      </w:r>
      <w:r w:rsidR="00252EDC" w:rsidRPr="0049623D">
        <w:rPr>
          <w:sz w:val="24"/>
          <w:szCs w:val="32"/>
        </w:rPr>
        <w:t xml:space="preserve"> in use in the </w:t>
      </w:r>
      <w:r w:rsidR="00252EDC" w:rsidRPr="0049623D">
        <w:rPr>
          <w:sz w:val="24"/>
          <w:szCs w:val="32"/>
          <w:highlight w:val="yellow"/>
        </w:rPr>
        <w:t>[lab name]</w:t>
      </w:r>
      <w:r w:rsidR="00252EDC" w:rsidRPr="0049623D">
        <w:rPr>
          <w:sz w:val="24"/>
          <w:szCs w:val="32"/>
        </w:rPr>
        <w:t xml:space="preserve"> include:</w:t>
      </w:r>
    </w:p>
    <w:p w14:paraId="0399C7B2"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1</w:t>
      </w:r>
    </w:p>
    <w:p w14:paraId="3D8EB0FC"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2</w:t>
      </w:r>
    </w:p>
    <w:p w14:paraId="26288BAA"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3</w:t>
      </w:r>
    </w:p>
    <w:p w14:paraId="28D3A3C5" w14:textId="17B07CE6" w:rsidR="002E0279" w:rsidRPr="0049623D" w:rsidRDefault="002E0279" w:rsidP="002E0279">
      <w:pPr>
        <w:rPr>
          <w:b/>
          <w:i/>
          <w:sz w:val="28"/>
          <w:szCs w:val="32"/>
        </w:rPr>
      </w:pPr>
      <w:r w:rsidRPr="0049623D">
        <w:rPr>
          <w:b/>
          <w:i/>
          <w:sz w:val="28"/>
          <w:szCs w:val="32"/>
        </w:rPr>
        <w:t>Risk Assessment</w:t>
      </w:r>
    </w:p>
    <w:p w14:paraId="6B753D46" w14:textId="1EC1FDE5" w:rsidR="00825AE0" w:rsidRDefault="00AA5F92" w:rsidP="002E0279">
      <w:pPr>
        <w:rPr>
          <w:sz w:val="24"/>
          <w:szCs w:val="32"/>
        </w:rPr>
      </w:pPr>
      <w:r w:rsidRPr="0049623D">
        <w:rPr>
          <w:sz w:val="24"/>
          <w:szCs w:val="32"/>
        </w:rPr>
        <w:t>The primary risk</w:t>
      </w:r>
      <w:r w:rsidR="0018777E">
        <w:rPr>
          <w:sz w:val="24"/>
          <w:szCs w:val="32"/>
        </w:rPr>
        <w:t>s</w:t>
      </w:r>
      <w:r w:rsidRPr="0049623D">
        <w:rPr>
          <w:sz w:val="24"/>
          <w:szCs w:val="32"/>
        </w:rPr>
        <w:t xml:space="preserve"> of </w:t>
      </w:r>
      <w:r w:rsidR="0018777E">
        <w:rPr>
          <w:sz w:val="24"/>
          <w:szCs w:val="32"/>
        </w:rPr>
        <w:t>working with gas cylinders is physical hazards created by the pressurization of the gas and the potential for a cylinder leak</w:t>
      </w:r>
      <w:r w:rsidR="00567CF2">
        <w:rPr>
          <w:sz w:val="24"/>
          <w:szCs w:val="32"/>
        </w:rPr>
        <w:t xml:space="preserve"> or rupture</w:t>
      </w:r>
      <w:r w:rsidR="0018777E">
        <w:rPr>
          <w:sz w:val="24"/>
          <w:szCs w:val="32"/>
        </w:rPr>
        <w:t xml:space="preserve">. </w:t>
      </w:r>
    </w:p>
    <w:p w14:paraId="6100F473" w14:textId="77777777" w:rsidR="00EE1AE4" w:rsidRPr="008A1B80" w:rsidRDefault="00EE1AE4" w:rsidP="00EE1AE4">
      <w:r>
        <w:rPr>
          <w:sz w:val="24"/>
          <w:szCs w:val="32"/>
        </w:rPr>
        <w:t>This SOP alone should not be used for any gas that has another hazard class, such as flammable gases, toxic gases, etc. The information in this SOP should be used along with the SOP for the other hazard class as a reference for your lab when writing your own SOP for those types of material.</w:t>
      </w:r>
    </w:p>
    <w:tbl>
      <w:tblPr>
        <w:tblStyle w:val="TableGrid"/>
        <w:tblW w:w="9805" w:type="dxa"/>
        <w:tblLook w:val="04A0" w:firstRow="1" w:lastRow="0" w:firstColumn="1" w:lastColumn="0" w:noHBand="0" w:noVBand="1"/>
      </w:tblPr>
      <w:tblGrid>
        <w:gridCol w:w="4135"/>
        <w:gridCol w:w="5670"/>
      </w:tblGrid>
      <w:tr w:rsidR="00611334" w:rsidRPr="0049623D" w14:paraId="0CF3EF52" w14:textId="77777777" w:rsidTr="0049623D">
        <w:tc>
          <w:tcPr>
            <w:tcW w:w="9805" w:type="dxa"/>
            <w:gridSpan w:val="2"/>
            <w:shd w:val="clear" w:color="auto" w:fill="D9D9D9" w:themeFill="background1" w:themeFillShade="D9"/>
          </w:tcPr>
          <w:p w14:paraId="4A475002" w14:textId="04FFAC76" w:rsidR="00611334" w:rsidRPr="0049623D" w:rsidRDefault="007653BB" w:rsidP="00000679">
            <w:pPr>
              <w:jc w:val="center"/>
              <w:rPr>
                <w:rFonts w:asciiTheme="minorHAnsi" w:hAnsiTheme="minorHAnsi"/>
                <w:b/>
                <w:bCs/>
                <w:sz w:val="24"/>
              </w:rPr>
            </w:pPr>
            <w:r w:rsidRPr="0049623D">
              <w:rPr>
                <w:rFonts w:asciiTheme="minorHAnsi" w:hAnsiTheme="minorHAnsi"/>
                <w:b/>
                <w:bCs/>
                <w:sz w:val="24"/>
              </w:rPr>
              <w:t>Lab-Specific Working Limits</w:t>
            </w:r>
          </w:p>
        </w:tc>
      </w:tr>
      <w:tr w:rsidR="00611334" w:rsidRPr="0049623D" w14:paraId="75DC94B0" w14:textId="77777777" w:rsidTr="0049623D">
        <w:trPr>
          <w:trHeight w:val="260"/>
        </w:trPr>
        <w:tc>
          <w:tcPr>
            <w:tcW w:w="4135" w:type="dxa"/>
          </w:tcPr>
          <w:p w14:paraId="0530E4E0" w14:textId="71F7E06D" w:rsidR="00611334" w:rsidRPr="0049623D" w:rsidRDefault="00611334" w:rsidP="00000679">
            <w:pPr>
              <w:rPr>
                <w:rFonts w:asciiTheme="minorHAnsi" w:hAnsiTheme="minorHAnsi"/>
                <w:b/>
                <w:sz w:val="24"/>
              </w:rPr>
            </w:pPr>
            <w:r w:rsidRPr="0049623D">
              <w:rPr>
                <w:rFonts w:asciiTheme="minorHAnsi" w:hAnsiTheme="minorHAnsi"/>
                <w:b/>
                <w:sz w:val="24"/>
              </w:rPr>
              <w:t>Maximum Storage Amount</w:t>
            </w:r>
          </w:p>
        </w:tc>
        <w:tc>
          <w:tcPr>
            <w:tcW w:w="5670" w:type="dxa"/>
          </w:tcPr>
          <w:p w14:paraId="3FC90ED0" w14:textId="7BE74C72" w:rsidR="00611334" w:rsidRPr="0049623D" w:rsidRDefault="0049623D" w:rsidP="00567CF2">
            <w:pPr>
              <w:rPr>
                <w:rFonts w:asciiTheme="minorHAnsi" w:hAnsiTheme="minorHAnsi"/>
                <w:bCs/>
                <w:i/>
                <w:sz w:val="24"/>
                <w:highlight w:val="yellow"/>
              </w:rPr>
            </w:pPr>
            <w:r w:rsidRPr="0049623D">
              <w:rPr>
                <w:rFonts w:asciiTheme="minorHAnsi" w:hAnsiTheme="minorHAnsi"/>
                <w:bCs/>
                <w:i/>
                <w:sz w:val="24"/>
                <w:highlight w:val="yellow"/>
              </w:rPr>
              <w:t xml:space="preserve">List the maximum </w:t>
            </w:r>
            <w:r w:rsidR="00567CF2">
              <w:rPr>
                <w:rFonts w:asciiTheme="minorHAnsi" w:hAnsiTheme="minorHAnsi"/>
                <w:bCs/>
                <w:i/>
                <w:sz w:val="24"/>
                <w:highlight w:val="yellow"/>
              </w:rPr>
              <w:t>volume of compressed gas</w:t>
            </w:r>
            <w:r w:rsidRPr="0049623D">
              <w:rPr>
                <w:rFonts w:asciiTheme="minorHAnsi" w:hAnsiTheme="minorHAnsi"/>
                <w:bCs/>
                <w:i/>
                <w:sz w:val="24"/>
                <w:highlight w:val="yellow"/>
              </w:rPr>
              <w:t xml:space="preserve"> that </w:t>
            </w:r>
            <w:r w:rsidR="00567CF2">
              <w:rPr>
                <w:rFonts w:asciiTheme="minorHAnsi" w:hAnsiTheme="minorHAnsi"/>
                <w:bCs/>
                <w:i/>
                <w:sz w:val="24"/>
                <w:highlight w:val="yellow"/>
              </w:rPr>
              <w:t>is</w:t>
            </w:r>
            <w:r w:rsidRPr="0049623D">
              <w:rPr>
                <w:rFonts w:asciiTheme="minorHAnsi" w:hAnsiTheme="minorHAnsi"/>
                <w:bCs/>
                <w:i/>
                <w:sz w:val="24"/>
                <w:highlight w:val="yellow"/>
              </w:rPr>
              <w:t xml:space="preserve"> allowed to be stored in your lab.</w:t>
            </w:r>
            <w:r w:rsidR="0018777E">
              <w:rPr>
                <w:rFonts w:asciiTheme="minorHAnsi" w:hAnsiTheme="minorHAnsi"/>
                <w:bCs/>
                <w:i/>
                <w:sz w:val="24"/>
                <w:highlight w:val="yellow"/>
              </w:rPr>
              <w:t xml:space="preserve"> Include limits on specific materials,</w:t>
            </w:r>
            <w:r w:rsidR="00CA45AF">
              <w:rPr>
                <w:rFonts w:asciiTheme="minorHAnsi" w:hAnsiTheme="minorHAnsi"/>
                <w:bCs/>
                <w:i/>
                <w:sz w:val="24"/>
                <w:highlight w:val="yellow"/>
              </w:rPr>
              <w:t xml:space="preserve"> such as flammable gases,</w:t>
            </w:r>
            <w:r w:rsidR="0018777E">
              <w:rPr>
                <w:rFonts w:asciiTheme="minorHAnsi" w:hAnsiTheme="minorHAnsi"/>
                <w:bCs/>
                <w:i/>
                <w:sz w:val="24"/>
                <w:highlight w:val="yellow"/>
              </w:rPr>
              <w:t xml:space="preserve"> if applicable.</w:t>
            </w:r>
          </w:p>
        </w:tc>
      </w:tr>
      <w:tr w:rsidR="00611334" w:rsidRPr="0049623D" w14:paraId="6D43CF23" w14:textId="77777777" w:rsidTr="0049623D">
        <w:tc>
          <w:tcPr>
            <w:tcW w:w="4135" w:type="dxa"/>
          </w:tcPr>
          <w:p w14:paraId="4076D9F6" w14:textId="0172C4A7" w:rsidR="00611334" w:rsidRPr="0049623D" w:rsidRDefault="00611334" w:rsidP="00000679">
            <w:pPr>
              <w:rPr>
                <w:rFonts w:asciiTheme="minorHAnsi" w:hAnsiTheme="minorHAnsi"/>
                <w:b/>
                <w:sz w:val="24"/>
              </w:rPr>
            </w:pPr>
            <w:r w:rsidRPr="0049623D">
              <w:rPr>
                <w:rFonts w:asciiTheme="minorHAnsi" w:hAnsiTheme="minorHAnsi"/>
                <w:b/>
                <w:sz w:val="24"/>
              </w:rPr>
              <w:t>Working Pressure Range</w:t>
            </w:r>
          </w:p>
        </w:tc>
        <w:tc>
          <w:tcPr>
            <w:tcW w:w="5670" w:type="dxa"/>
          </w:tcPr>
          <w:p w14:paraId="2A9486F6" w14:textId="5384B38F"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range of pressures where your lab allows work with this hazard class.</w:t>
            </w:r>
          </w:p>
        </w:tc>
      </w:tr>
    </w:tbl>
    <w:p w14:paraId="5C0A55E3" w14:textId="77777777" w:rsidR="00611334" w:rsidRPr="0049623D" w:rsidRDefault="00611334"/>
    <w:tbl>
      <w:tblPr>
        <w:tblStyle w:val="TableGrid"/>
        <w:tblW w:w="9805" w:type="dxa"/>
        <w:tblLook w:val="04A0" w:firstRow="1" w:lastRow="0" w:firstColumn="1" w:lastColumn="0" w:noHBand="0" w:noVBand="1"/>
      </w:tblPr>
      <w:tblGrid>
        <w:gridCol w:w="2605"/>
        <w:gridCol w:w="7200"/>
      </w:tblGrid>
      <w:tr w:rsidR="00611334" w:rsidRPr="0049623D" w14:paraId="2A1E9394" w14:textId="77777777" w:rsidTr="0049623D">
        <w:tc>
          <w:tcPr>
            <w:tcW w:w="9805" w:type="dxa"/>
            <w:gridSpan w:val="2"/>
            <w:shd w:val="clear" w:color="auto" w:fill="D9D9D9" w:themeFill="background1" w:themeFillShade="D9"/>
          </w:tcPr>
          <w:p w14:paraId="157AFBE7" w14:textId="0036AAC9" w:rsidR="00611334" w:rsidRPr="0049623D" w:rsidRDefault="00611334" w:rsidP="00611334">
            <w:pPr>
              <w:jc w:val="center"/>
              <w:rPr>
                <w:rFonts w:asciiTheme="minorHAnsi" w:hAnsiTheme="minorHAnsi"/>
                <w:b/>
                <w:bCs/>
                <w:sz w:val="24"/>
              </w:rPr>
            </w:pPr>
            <w:r w:rsidRPr="0049623D">
              <w:rPr>
                <w:rFonts w:asciiTheme="minorHAnsi" w:hAnsiTheme="minorHAnsi"/>
                <w:b/>
                <w:bCs/>
                <w:sz w:val="24"/>
              </w:rPr>
              <w:t>Transfer and Transportation Limits</w:t>
            </w:r>
          </w:p>
        </w:tc>
      </w:tr>
      <w:tr w:rsidR="00611334" w:rsidRPr="0049623D" w14:paraId="00153053" w14:textId="77777777" w:rsidTr="0049623D">
        <w:tc>
          <w:tcPr>
            <w:tcW w:w="2605" w:type="dxa"/>
          </w:tcPr>
          <w:p w14:paraId="58A3D98E" w14:textId="4C86BCB9" w:rsidR="00611334" w:rsidRPr="0049623D" w:rsidRDefault="00567CF2" w:rsidP="00567CF2">
            <w:pPr>
              <w:rPr>
                <w:rFonts w:asciiTheme="minorHAnsi" w:hAnsiTheme="minorHAnsi"/>
                <w:b/>
                <w:sz w:val="24"/>
              </w:rPr>
            </w:pPr>
            <w:r>
              <w:rPr>
                <w:rFonts w:asciiTheme="minorHAnsi" w:hAnsiTheme="minorHAnsi"/>
                <w:b/>
                <w:sz w:val="24"/>
              </w:rPr>
              <w:t>Maximum Flow Rate</w:t>
            </w:r>
          </w:p>
        </w:tc>
        <w:tc>
          <w:tcPr>
            <w:tcW w:w="7200" w:type="dxa"/>
          </w:tcPr>
          <w:p w14:paraId="20DE0291" w14:textId="2E3AFB8D" w:rsidR="00611334" w:rsidRPr="0049623D" w:rsidRDefault="0049623D" w:rsidP="00567CF2">
            <w:pPr>
              <w:rPr>
                <w:rFonts w:asciiTheme="minorHAnsi" w:hAnsiTheme="minorHAnsi"/>
                <w:bCs/>
                <w:i/>
                <w:sz w:val="24"/>
                <w:highlight w:val="yellow"/>
              </w:rPr>
            </w:pPr>
            <w:r w:rsidRPr="0049623D">
              <w:rPr>
                <w:rFonts w:asciiTheme="minorHAnsi" w:hAnsiTheme="minorHAnsi"/>
                <w:bCs/>
                <w:i/>
                <w:sz w:val="24"/>
                <w:highlight w:val="yellow"/>
              </w:rPr>
              <w:t xml:space="preserve">List the maximum </w:t>
            </w:r>
            <w:r w:rsidR="00567CF2">
              <w:rPr>
                <w:rFonts w:asciiTheme="minorHAnsi" w:hAnsiTheme="minorHAnsi"/>
                <w:bCs/>
                <w:i/>
                <w:sz w:val="24"/>
                <w:highlight w:val="yellow"/>
              </w:rPr>
              <w:t>rate of flow for</w:t>
            </w:r>
            <w:r w:rsidRPr="0049623D">
              <w:rPr>
                <w:rFonts w:asciiTheme="minorHAnsi" w:hAnsiTheme="minorHAnsi"/>
                <w:bCs/>
                <w:i/>
                <w:sz w:val="24"/>
                <w:highlight w:val="yellow"/>
              </w:rPr>
              <w:t xml:space="preserve"> </w:t>
            </w:r>
            <w:r w:rsidR="00CA45AF">
              <w:rPr>
                <w:rFonts w:asciiTheme="minorHAnsi" w:hAnsiTheme="minorHAnsi"/>
                <w:bCs/>
                <w:i/>
                <w:sz w:val="24"/>
                <w:highlight w:val="yellow"/>
              </w:rPr>
              <w:t>gases</w:t>
            </w:r>
            <w:r w:rsidRPr="0049623D">
              <w:rPr>
                <w:rFonts w:asciiTheme="minorHAnsi" w:hAnsiTheme="minorHAnsi"/>
                <w:bCs/>
                <w:i/>
                <w:sz w:val="24"/>
                <w:highlight w:val="yellow"/>
              </w:rPr>
              <w:t xml:space="preserve"> </w:t>
            </w:r>
            <w:r w:rsidR="00CA45AF">
              <w:rPr>
                <w:rFonts w:asciiTheme="minorHAnsi" w:hAnsiTheme="minorHAnsi"/>
                <w:bCs/>
                <w:i/>
                <w:sz w:val="24"/>
                <w:highlight w:val="yellow"/>
              </w:rPr>
              <w:t xml:space="preserve">that your lab </w:t>
            </w:r>
            <w:r w:rsidR="00567CF2">
              <w:rPr>
                <w:rFonts w:asciiTheme="minorHAnsi" w:hAnsiTheme="minorHAnsi"/>
                <w:bCs/>
                <w:i/>
                <w:sz w:val="24"/>
                <w:highlight w:val="yellow"/>
              </w:rPr>
              <w:t xml:space="preserve">uses. </w:t>
            </w:r>
          </w:p>
        </w:tc>
      </w:tr>
      <w:tr w:rsidR="00611334" w:rsidRPr="0049623D" w14:paraId="218C1D1E" w14:textId="77777777" w:rsidTr="0049623D">
        <w:tc>
          <w:tcPr>
            <w:tcW w:w="2605" w:type="dxa"/>
          </w:tcPr>
          <w:p w14:paraId="4EEBDBEC" w14:textId="03640013" w:rsidR="00611334" w:rsidRPr="0049623D" w:rsidRDefault="00611334" w:rsidP="00567CF2">
            <w:pPr>
              <w:rPr>
                <w:rFonts w:asciiTheme="minorHAnsi" w:hAnsiTheme="minorHAnsi"/>
                <w:b/>
                <w:sz w:val="24"/>
              </w:rPr>
            </w:pPr>
            <w:r w:rsidRPr="0049623D">
              <w:rPr>
                <w:rFonts w:asciiTheme="minorHAnsi" w:hAnsiTheme="minorHAnsi"/>
                <w:b/>
                <w:sz w:val="24"/>
              </w:rPr>
              <w:t xml:space="preserve">Maximum </w:t>
            </w:r>
            <w:r w:rsidR="00567CF2">
              <w:rPr>
                <w:rFonts w:asciiTheme="minorHAnsi" w:hAnsiTheme="minorHAnsi"/>
                <w:b/>
                <w:sz w:val="24"/>
              </w:rPr>
              <w:t>Use Out of Hood</w:t>
            </w:r>
          </w:p>
        </w:tc>
        <w:tc>
          <w:tcPr>
            <w:tcW w:w="7200" w:type="dxa"/>
          </w:tcPr>
          <w:p w14:paraId="4960CC58" w14:textId="0C68FFCC" w:rsidR="00611334" w:rsidRPr="0049623D" w:rsidRDefault="0049623D" w:rsidP="000D5FF3">
            <w:pPr>
              <w:rPr>
                <w:rFonts w:asciiTheme="minorHAnsi" w:hAnsiTheme="minorHAnsi"/>
                <w:bCs/>
                <w:i/>
                <w:sz w:val="24"/>
                <w:highlight w:val="yellow"/>
              </w:rPr>
            </w:pPr>
            <w:r w:rsidRPr="0049623D">
              <w:rPr>
                <w:rFonts w:asciiTheme="minorHAnsi" w:hAnsiTheme="minorHAnsi"/>
                <w:bCs/>
                <w:i/>
                <w:sz w:val="24"/>
                <w:highlight w:val="yellow"/>
              </w:rPr>
              <w:t xml:space="preserve">List </w:t>
            </w:r>
            <w:r w:rsidR="0018777E">
              <w:rPr>
                <w:rFonts w:asciiTheme="minorHAnsi" w:hAnsiTheme="minorHAnsi"/>
                <w:bCs/>
                <w:i/>
                <w:sz w:val="24"/>
                <w:highlight w:val="yellow"/>
              </w:rPr>
              <w:t xml:space="preserve">the amount of </w:t>
            </w:r>
            <w:r w:rsidR="00567CF2">
              <w:rPr>
                <w:rFonts w:asciiTheme="minorHAnsi" w:hAnsiTheme="minorHAnsi"/>
                <w:bCs/>
                <w:i/>
                <w:sz w:val="24"/>
                <w:highlight w:val="yellow"/>
              </w:rPr>
              <w:t>gas</w:t>
            </w:r>
            <w:r w:rsidR="0018777E">
              <w:rPr>
                <w:rFonts w:asciiTheme="minorHAnsi" w:hAnsiTheme="minorHAnsi"/>
                <w:bCs/>
                <w:i/>
                <w:sz w:val="24"/>
                <w:highlight w:val="yellow"/>
              </w:rPr>
              <w:t xml:space="preserve"> your lab allows to be </w:t>
            </w:r>
            <w:r w:rsidR="000D5FF3">
              <w:rPr>
                <w:rFonts w:asciiTheme="minorHAnsi" w:hAnsiTheme="minorHAnsi"/>
                <w:bCs/>
                <w:i/>
                <w:sz w:val="24"/>
                <w:highlight w:val="yellow"/>
              </w:rPr>
              <w:t>used or vented</w:t>
            </w:r>
            <w:r w:rsidR="0018777E">
              <w:rPr>
                <w:rFonts w:asciiTheme="minorHAnsi" w:hAnsiTheme="minorHAnsi"/>
                <w:bCs/>
                <w:i/>
                <w:sz w:val="24"/>
                <w:highlight w:val="yellow"/>
              </w:rPr>
              <w:t xml:space="preserve"> outside of a fume hood.</w:t>
            </w:r>
          </w:p>
        </w:tc>
      </w:tr>
    </w:tbl>
    <w:p w14:paraId="3129F494" w14:textId="77777777" w:rsidR="00611334" w:rsidRPr="0049623D" w:rsidRDefault="00611334" w:rsidP="002E0279">
      <w:pPr>
        <w:rPr>
          <w:sz w:val="24"/>
          <w:szCs w:val="32"/>
        </w:rPr>
      </w:pPr>
    </w:p>
    <w:p w14:paraId="6265FBDA" w14:textId="77777777" w:rsidR="002E0279" w:rsidRPr="0049623D" w:rsidRDefault="002E0279" w:rsidP="002E0279">
      <w:pPr>
        <w:rPr>
          <w:b/>
          <w:i/>
          <w:sz w:val="28"/>
          <w:szCs w:val="32"/>
        </w:rPr>
      </w:pPr>
      <w:r w:rsidRPr="0049623D">
        <w:rPr>
          <w:b/>
          <w:i/>
          <w:sz w:val="28"/>
          <w:szCs w:val="32"/>
        </w:rPr>
        <w:t>Control Plan</w:t>
      </w:r>
    </w:p>
    <w:p w14:paraId="12373B16" w14:textId="77777777" w:rsidR="00AA5F92" w:rsidRDefault="00AA5F92" w:rsidP="002E0279">
      <w:pPr>
        <w:rPr>
          <w:i/>
          <w:sz w:val="28"/>
          <w:szCs w:val="32"/>
        </w:rPr>
      </w:pPr>
      <w:r w:rsidRPr="0049623D">
        <w:rPr>
          <w:i/>
          <w:sz w:val="28"/>
          <w:szCs w:val="32"/>
        </w:rPr>
        <w:t>Storage and Transport</w:t>
      </w:r>
    </w:p>
    <w:p w14:paraId="65D6EB40" w14:textId="700D4CF1" w:rsidR="0018777E" w:rsidRDefault="0018777E" w:rsidP="003F2D91">
      <w:pPr>
        <w:pStyle w:val="ListParagraph"/>
        <w:numPr>
          <w:ilvl w:val="0"/>
          <w:numId w:val="3"/>
        </w:numPr>
        <w:rPr>
          <w:sz w:val="24"/>
          <w:szCs w:val="32"/>
        </w:rPr>
      </w:pPr>
      <w:r>
        <w:rPr>
          <w:sz w:val="24"/>
          <w:szCs w:val="32"/>
        </w:rPr>
        <w:t>Keep gas cylinders away from heating sources, including sunlight, heating components, boilers, steam pipes, etc. Otherwise, this may cause a rise in pressure and potential</w:t>
      </w:r>
      <w:r w:rsidR="002033D2">
        <w:rPr>
          <w:sz w:val="24"/>
          <w:szCs w:val="32"/>
        </w:rPr>
        <w:t>ly</w:t>
      </w:r>
      <w:r>
        <w:rPr>
          <w:sz w:val="24"/>
          <w:szCs w:val="32"/>
        </w:rPr>
        <w:t xml:space="preserve"> explo</w:t>
      </w:r>
      <w:r w:rsidR="002033D2">
        <w:rPr>
          <w:sz w:val="24"/>
          <w:szCs w:val="32"/>
        </w:rPr>
        <w:t>de</w:t>
      </w:r>
      <w:r>
        <w:rPr>
          <w:sz w:val="24"/>
          <w:szCs w:val="32"/>
        </w:rPr>
        <w:t>.</w:t>
      </w:r>
    </w:p>
    <w:p w14:paraId="0CE3DC78" w14:textId="151668B4" w:rsidR="0018777E" w:rsidRDefault="0018777E" w:rsidP="003F2D91">
      <w:pPr>
        <w:pStyle w:val="ListParagraph"/>
        <w:numPr>
          <w:ilvl w:val="0"/>
          <w:numId w:val="3"/>
        </w:numPr>
        <w:rPr>
          <w:sz w:val="24"/>
          <w:szCs w:val="32"/>
        </w:rPr>
      </w:pPr>
      <w:r>
        <w:rPr>
          <w:sz w:val="24"/>
          <w:szCs w:val="32"/>
        </w:rPr>
        <w:t>Keep gas cylinders away from temperatures below -20°F, unless designed for that use.</w:t>
      </w:r>
    </w:p>
    <w:p w14:paraId="03A20658" w14:textId="731CBD1E" w:rsidR="00494388" w:rsidRDefault="00494388" w:rsidP="003F2D91">
      <w:pPr>
        <w:pStyle w:val="ListParagraph"/>
        <w:numPr>
          <w:ilvl w:val="0"/>
          <w:numId w:val="3"/>
        </w:numPr>
        <w:rPr>
          <w:sz w:val="24"/>
          <w:szCs w:val="32"/>
        </w:rPr>
      </w:pPr>
      <w:r>
        <w:rPr>
          <w:sz w:val="24"/>
          <w:szCs w:val="32"/>
        </w:rPr>
        <w:t xml:space="preserve">Do not store gas cylinders in the same cabinet as corrosive materials, even if the gas is corrosive itself. </w:t>
      </w:r>
    </w:p>
    <w:p w14:paraId="2110EBDB" w14:textId="7EB319EC" w:rsidR="00957938" w:rsidRDefault="00957938" w:rsidP="003F2D91">
      <w:pPr>
        <w:pStyle w:val="ListParagraph"/>
        <w:numPr>
          <w:ilvl w:val="0"/>
          <w:numId w:val="3"/>
        </w:numPr>
        <w:rPr>
          <w:sz w:val="24"/>
          <w:szCs w:val="32"/>
        </w:rPr>
      </w:pPr>
      <w:r>
        <w:rPr>
          <w:sz w:val="24"/>
          <w:szCs w:val="32"/>
        </w:rPr>
        <w:t>Only move gas cylinders when they are securely strapped down to an approved cylinder cart.</w:t>
      </w:r>
    </w:p>
    <w:p w14:paraId="37F66EF7" w14:textId="541B5B0C" w:rsidR="00957938" w:rsidRDefault="00957938" w:rsidP="003F2D91">
      <w:pPr>
        <w:pStyle w:val="ListParagraph"/>
        <w:numPr>
          <w:ilvl w:val="0"/>
          <w:numId w:val="3"/>
        </w:numPr>
        <w:rPr>
          <w:sz w:val="24"/>
          <w:szCs w:val="32"/>
        </w:rPr>
      </w:pPr>
      <w:r>
        <w:rPr>
          <w:sz w:val="24"/>
          <w:szCs w:val="32"/>
        </w:rPr>
        <w:t xml:space="preserve">Always secure gas cylinders in an upright position, even when they are not in active use or transport. Straps need to be substantial, placed between the middle and the top curve of the cylinder, and should </w:t>
      </w:r>
      <w:r w:rsidR="000D5FF3">
        <w:rPr>
          <w:sz w:val="24"/>
          <w:szCs w:val="32"/>
        </w:rPr>
        <w:t>attach the cylinder to a stable</w:t>
      </w:r>
      <w:r>
        <w:rPr>
          <w:sz w:val="24"/>
          <w:szCs w:val="32"/>
        </w:rPr>
        <w:t xml:space="preserve"> structure, such as a wall or lab bench. Cylinders should not be secured to movable furniture or anything unstable.</w:t>
      </w:r>
    </w:p>
    <w:p w14:paraId="55B1CED9" w14:textId="528D3E59" w:rsidR="00957938" w:rsidRDefault="00957938" w:rsidP="003F2D91">
      <w:pPr>
        <w:pStyle w:val="ListParagraph"/>
        <w:numPr>
          <w:ilvl w:val="0"/>
          <w:numId w:val="3"/>
        </w:numPr>
        <w:rPr>
          <w:sz w:val="24"/>
          <w:szCs w:val="32"/>
        </w:rPr>
      </w:pPr>
      <w:r>
        <w:rPr>
          <w:sz w:val="24"/>
          <w:szCs w:val="32"/>
        </w:rPr>
        <w:t>Wear the proper PPE when moving and working directly with cylinders – gloves, safety glasses, and hard-toed shoes.</w:t>
      </w:r>
    </w:p>
    <w:p w14:paraId="516FFA10" w14:textId="0B87A29C" w:rsidR="0018777E" w:rsidRDefault="00957938" w:rsidP="003F2D91">
      <w:pPr>
        <w:pStyle w:val="ListParagraph"/>
        <w:numPr>
          <w:ilvl w:val="0"/>
          <w:numId w:val="3"/>
        </w:numPr>
        <w:rPr>
          <w:sz w:val="24"/>
          <w:szCs w:val="32"/>
        </w:rPr>
      </w:pPr>
      <w:r>
        <w:rPr>
          <w:sz w:val="24"/>
          <w:szCs w:val="32"/>
        </w:rPr>
        <w:t>Use protective valve caps on cylinders when they are in transit or not in use.</w:t>
      </w:r>
    </w:p>
    <w:p w14:paraId="0B991A03" w14:textId="25DE76AF" w:rsidR="00957938" w:rsidRDefault="00957938" w:rsidP="003F2D91">
      <w:pPr>
        <w:pStyle w:val="ListParagraph"/>
        <w:numPr>
          <w:ilvl w:val="0"/>
          <w:numId w:val="3"/>
        </w:numPr>
        <w:rPr>
          <w:sz w:val="24"/>
          <w:szCs w:val="32"/>
        </w:rPr>
      </w:pPr>
      <w:r>
        <w:rPr>
          <w:sz w:val="24"/>
          <w:szCs w:val="32"/>
        </w:rPr>
        <w:t>Handle gas cylinders carefully – do not drop them, strike them against things, or roll them along the ground.</w:t>
      </w:r>
    </w:p>
    <w:p w14:paraId="301B2B58" w14:textId="77777777" w:rsidR="00825AE0" w:rsidRDefault="00957938" w:rsidP="00825AE0">
      <w:pPr>
        <w:pStyle w:val="ListParagraph"/>
        <w:numPr>
          <w:ilvl w:val="0"/>
          <w:numId w:val="3"/>
        </w:numPr>
        <w:rPr>
          <w:sz w:val="24"/>
          <w:szCs w:val="32"/>
        </w:rPr>
      </w:pPr>
      <w:r>
        <w:rPr>
          <w:sz w:val="24"/>
          <w:szCs w:val="32"/>
        </w:rPr>
        <w:t xml:space="preserve">Lecture bottles and round-bottom cylinders are not required to be stored upright, but they must be stored somewhere secure (i.e., </w:t>
      </w:r>
      <w:r w:rsidR="000D5FF3">
        <w:rPr>
          <w:sz w:val="24"/>
          <w:szCs w:val="32"/>
        </w:rPr>
        <w:t xml:space="preserve">where </w:t>
      </w:r>
      <w:r>
        <w:rPr>
          <w:sz w:val="24"/>
          <w:szCs w:val="32"/>
        </w:rPr>
        <w:t>they won’t fall off a shelf or roll off a table)</w:t>
      </w:r>
      <w:r w:rsidR="000D5FF3">
        <w:rPr>
          <w:sz w:val="24"/>
          <w:szCs w:val="32"/>
        </w:rPr>
        <w:t>.</w:t>
      </w:r>
      <w:r w:rsidR="00825AE0" w:rsidRPr="00825AE0">
        <w:rPr>
          <w:sz w:val="24"/>
          <w:szCs w:val="32"/>
        </w:rPr>
        <w:t xml:space="preserve"> </w:t>
      </w:r>
    </w:p>
    <w:p w14:paraId="505E2718" w14:textId="4B0BD4F5" w:rsidR="00450965" w:rsidRPr="00450965" w:rsidRDefault="00825AE0" w:rsidP="00450965">
      <w:pPr>
        <w:pStyle w:val="ListParagraph"/>
        <w:numPr>
          <w:ilvl w:val="0"/>
          <w:numId w:val="3"/>
        </w:numPr>
        <w:rPr>
          <w:sz w:val="24"/>
          <w:szCs w:val="32"/>
        </w:rPr>
      </w:pPr>
      <w:proofErr w:type="spellStart"/>
      <w:r w:rsidRPr="00825AE0">
        <w:rPr>
          <w:sz w:val="24"/>
          <w:szCs w:val="32"/>
        </w:rPr>
        <w:t>Transfilling</w:t>
      </w:r>
      <w:proofErr w:type="spellEnd"/>
      <w:r w:rsidRPr="00825AE0">
        <w:rPr>
          <w:sz w:val="24"/>
          <w:szCs w:val="32"/>
        </w:rPr>
        <w:t xml:space="preserve"> (filling your own gas cylinders from another source)</w:t>
      </w:r>
      <w:r w:rsidR="00C977D9">
        <w:rPr>
          <w:sz w:val="24"/>
          <w:szCs w:val="32"/>
        </w:rPr>
        <w:t xml:space="preserve"> or gas mixing of gas</w:t>
      </w:r>
      <w:r w:rsidR="00512E8A">
        <w:rPr>
          <w:sz w:val="24"/>
          <w:szCs w:val="32"/>
        </w:rPr>
        <w:t xml:space="preserve">ses in </w:t>
      </w:r>
      <w:r w:rsidR="00C977D9">
        <w:rPr>
          <w:sz w:val="24"/>
          <w:szCs w:val="32"/>
        </w:rPr>
        <w:t>cylinders</w:t>
      </w:r>
      <w:r w:rsidRPr="00825AE0">
        <w:rPr>
          <w:sz w:val="24"/>
          <w:szCs w:val="32"/>
        </w:rPr>
        <w:t xml:space="preserve"> has specific requirements that must be followed. </w:t>
      </w:r>
      <w:r w:rsidR="00C977D9" w:rsidRPr="002033D2">
        <w:rPr>
          <w:b/>
          <w:sz w:val="24"/>
          <w:szCs w:val="32"/>
        </w:rPr>
        <w:t>Contact</w:t>
      </w:r>
      <w:r w:rsidRPr="002033D2">
        <w:rPr>
          <w:b/>
          <w:sz w:val="24"/>
          <w:szCs w:val="32"/>
        </w:rPr>
        <w:t xml:space="preserve"> </w:t>
      </w:r>
      <w:r w:rsidR="00196533" w:rsidRPr="002033D2">
        <w:rPr>
          <w:b/>
          <w:sz w:val="24"/>
          <w:szCs w:val="32"/>
        </w:rPr>
        <w:t>UHS</w:t>
      </w:r>
      <w:r w:rsidRPr="002033D2">
        <w:rPr>
          <w:b/>
          <w:sz w:val="24"/>
          <w:szCs w:val="32"/>
        </w:rPr>
        <w:t xml:space="preserve"> at (612)-626-6002 for further guidance.</w:t>
      </w:r>
    </w:p>
    <w:p w14:paraId="69A1B4FD" w14:textId="64F0D897" w:rsidR="00017E99" w:rsidRPr="00017E99" w:rsidRDefault="00017E99" w:rsidP="00017E99">
      <w:pPr>
        <w:pStyle w:val="ListParagraph"/>
        <w:numPr>
          <w:ilvl w:val="0"/>
          <w:numId w:val="3"/>
        </w:numPr>
        <w:rPr>
          <w:i/>
          <w:sz w:val="28"/>
          <w:szCs w:val="32"/>
        </w:rPr>
      </w:pPr>
      <w:r>
        <w:rPr>
          <w:sz w:val="24"/>
          <w:szCs w:val="32"/>
        </w:rPr>
        <w:t>If you are moving containers between campuses</w:t>
      </w:r>
      <w:r w:rsidR="000D5FF3">
        <w:rPr>
          <w:sz w:val="24"/>
          <w:szCs w:val="32"/>
        </w:rPr>
        <w:t xml:space="preserve"> or will be </w:t>
      </w:r>
      <w:r>
        <w:rPr>
          <w:sz w:val="24"/>
          <w:szCs w:val="32"/>
        </w:rPr>
        <w:t xml:space="preserve">shipping any material, contact </w:t>
      </w:r>
      <w:r w:rsidR="00196533">
        <w:rPr>
          <w:sz w:val="24"/>
          <w:szCs w:val="32"/>
        </w:rPr>
        <w:t>UHS</w:t>
      </w:r>
      <w:r>
        <w:rPr>
          <w:sz w:val="24"/>
          <w:szCs w:val="32"/>
        </w:rPr>
        <w:t xml:space="preserve"> at (612)-626-6002 before doing so.</w:t>
      </w:r>
    </w:p>
    <w:p w14:paraId="18BCD9C8" w14:textId="77777777" w:rsidR="00AA5F92" w:rsidRPr="0049623D" w:rsidRDefault="00AA5F92" w:rsidP="002E0279">
      <w:pPr>
        <w:rPr>
          <w:i/>
          <w:sz w:val="28"/>
          <w:szCs w:val="32"/>
        </w:rPr>
      </w:pPr>
      <w:r w:rsidRPr="0049623D">
        <w:rPr>
          <w:i/>
          <w:sz w:val="28"/>
          <w:szCs w:val="32"/>
        </w:rPr>
        <w:t>Set-Up and Active Work</w:t>
      </w:r>
    </w:p>
    <w:p w14:paraId="7A36B677" w14:textId="62310BDB" w:rsidR="00017E99" w:rsidRPr="00957938" w:rsidRDefault="00957938" w:rsidP="00017E99">
      <w:pPr>
        <w:pStyle w:val="ListParagraph"/>
        <w:numPr>
          <w:ilvl w:val="0"/>
          <w:numId w:val="4"/>
        </w:numPr>
        <w:rPr>
          <w:sz w:val="28"/>
          <w:szCs w:val="32"/>
        </w:rPr>
      </w:pPr>
      <w:r>
        <w:rPr>
          <w:sz w:val="24"/>
          <w:szCs w:val="32"/>
        </w:rPr>
        <w:t>When setting up gas supply systems, joints should not be greased.</w:t>
      </w:r>
    </w:p>
    <w:p w14:paraId="4896F490" w14:textId="4A1272F8" w:rsidR="00957938" w:rsidRPr="00957938" w:rsidRDefault="00957938" w:rsidP="00017E99">
      <w:pPr>
        <w:pStyle w:val="ListParagraph"/>
        <w:numPr>
          <w:ilvl w:val="0"/>
          <w:numId w:val="4"/>
        </w:numPr>
        <w:rPr>
          <w:sz w:val="28"/>
          <w:szCs w:val="32"/>
        </w:rPr>
      </w:pPr>
      <w:r>
        <w:rPr>
          <w:sz w:val="24"/>
          <w:szCs w:val="32"/>
        </w:rPr>
        <w:t>When using gas supply systems, you should regularly check all parts to ensure that there are no signs of degradation or damage. This includes the cylinder, valve, and the rest of the supply system.</w:t>
      </w:r>
    </w:p>
    <w:p w14:paraId="5C4B268A" w14:textId="6DE7EF83" w:rsidR="00957938" w:rsidRPr="00957938" w:rsidRDefault="00957938" w:rsidP="00017E99">
      <w:pPr>
        <w:pStyle w:val="ListParagraph"/>
        <w:numPr>
          <w:ilvl w:val="0"/>
          <w:numId w:val="4"/>
        </w:numPr>
        <w:rPr>
          <w:sz w:val="28"/>
          <w:szCs w:val="32"/>
        </w:rPr>
      </w:pPr>
      <w:r>
        <w:rPr>
          <w:sz w:val="24"/>
          <w:szCs w:val="32"/>
        </w:rPr>
        <w:t xml:space="preserve">When setting up a gas supply system for the first time or after changing a cylinder, the entire system should be checked for leaks to ensure safety. Check at regular intervals during regular work as well. A mixture of soap and water is useful for this. For highly hazardous gases, perform leak checking with an inert gas, such as helium or </w:t>
      </w:r>
      <w:r w:rsidR="000D5FF3">
        <w:rPr>
          <w:sz w:val="24"/>
          <w:szCs w:val="32"/>
        </w:rPr>
        <w:t>nitrogen</w:t>
      </w:r>
      <w:r>
        <w:rPr>
          <w:sz w:val="24"/>
          <w:szCs w:val="32"/>
        </w:rPr>
        <w:t xml:space="preserve"> first, before using the highly hazardous gas in the system.</w:t>
      </w:r>
    </w:p>
    <w:p w14:paraId="3DEBF611" w14:textId="6B0F7C9A" w:rsidR="00957938" w:rsidRPr="00957938" w:rsidRDefault="00957938" w:rsidP="00017E99">
      <w:pPr>
        <w:pStyle w:val="ListParagraph"/>
        <w:numPr>
          <w:ilvl w:val="0"/>
          <w:numId w:val="4"/>
        </w:numPr>
        <w:rPr>
          <w:sz w:val="28"/>
          <w:szCs w:val="32"/>
        </w:rPr>
      </w:pPr>
      <w:r>
        <w:rPr>
          <w:sz w:val="24"/>
          <w:szCs w:val="32"/>
        </w:rPr>
        <w:t xml:space="preserve">Build a purge step into </w:t>
      </w:r>
      <w:r w:rsidR="00825AE0" w:rsidRPr="00970B72">
        <w:rPr>
          <w:sz w:val="24"/>
          <w:szCs w:val="32"/>
        </w:rPr>
        <w:t>all</w:t>
      </w:r>
      <w:r w:rsidRPr="00970B72">
        <w:rPr>
          <w:color w:val="FF0000"/>
          <w:sz w:val="24"/>
          <w:szCs w:val="32"/>
        </w:rPr>
        <w:t xml:space="preserve"> </w:t>
      </w:r>
      <w:r>
        <w:rPr>
          <w:sz w:val="24"/>
          <w:szCs w:val="32"/>
        </w:rPr>
        <w:t>experimental procedure</w:t>
      </w:r>
      <w:r w:rsidR="00825AE0">
        <w:rPr>
          <w:sz w:val="24"/>
          <w:szCs w:val="32"/>
        </w:rPr>
        <w:t>s</w:t>
      </w:r>
      <w:r>
        <w:rPr>
          <w:sz w:val="24"/>
          <w:szCs w:val="32"/>
        </w:rPr>
        <w:t xml:space="preserve"> to ensure that no gas is left in the tubing. This is especially important if you are disconnecting the tubing, removing it from a fume hood, or using it elsewhere.</w:t>
      </w:r>
    </w:p>
    <w:p w14:paraId="12A941CA" w14:textId="74333956" w:rsidR="00957938" w:rsidRPr="00F67A3D" w:rsidRDefault="00957938" w:rsidP="00017E99">
      <w:pPr>
        <w:pStyle w:val="ListParagraph"/>
        <w:numPr>
          <w:ilvl w:val="0"/>
          <w:numId w:val="4"/>
        </w:numPr>
        <w:rPr>
          <w:sz w:val="28"/>
          <w:szCs w:val="32"/>
        </w:rPr>
      </w:pPr>
      <w:r>
        <w:rPr>
          <w:sz w:val="24"/>
          <w:szCs w:val="32"/>
        </w:rPr>
        <w:t>Include procedures for how to report or repair damage to a gas cylinder. Include who to tell, who to call, or how to get replacement parts.</w:t>
      </w:r>
    </w:p>
    <w:p w14:paraId="38ED8BD0" w14:textId="54FD06F7" w:rsidR="00F67A3D" w:rsidRPr="00017E99" w:rsidRDefault="00F67A3D" w:rsidP="00017E99">
      <w:pPr>
        <w:pStyle w:val="ListParagraph"/>
        <w:numPr>
          <w:ilvl w:val="0"/>
          <w:numId w:val="4"/>
        </w:numPr>
        <w:rPr>
          <w:sz w:val="28"/>
          <w:szCs w:val="32"/>
        </w:rPr>
      </w:pPr>
      <w:r>
        <w:rPr>
          <w:sz w:val="24"/>
          <w:szCs w:val="32"/>
        </w:rPr>
        <w:t xml:space="preserve">Be aware that liquid nitrogen cylinders </w:t>
      </w:r>
      <w:r w:rsidR="00E31B62">
        <w:rPr>
          <w:sz w:val="24"/>
          <w:szCs w:val="32"/>
        </w:rPr>
        <w:t>may</w:t>
      </w:r>
      <w:r>
        <w:rPr>
          <w:sz w:val="24"/>
          <w:szCs w:val="32"/>
        </w:rPr>
        <w:t xml:space="preserve"> vent briefly as part of normal operation –don’t be alarmed.</w:t>
      </w:r>
    </w:p>
    <w:p w14:paraId="0DDDCF4E" w14:textId="77777777" w:rsidR="00AA5F92" w:rsidRPr="0049623D" w:rsidRDefault="00AA5F92" w:rsidP="002E0279">
      <w:pPr>
        <w:rPr>
          <w:i/>
          <w:sz w:val="28"/>
          <w:szCs w:val="32"/>
        </w:rPr>
      </w:pPr>
      <w:r w:rsidRPr="0049623D">
        <w:rPr>
          <w:i/>
          <w:sz w:val="28"/>
          <w:szCs w:val="32"/>
        </w:rPr>
        <w:t>Exposure Controls</w:t>
      </w:r>
    </w:p>
    <w:p w14:paraId="486AAA02" w14:textId="0B69544A" w:rsidR="00957938" w:rsidRDefault="00957938" w:rsidP="00957938">
      <w:pPr>
        <w:pStyle w:val="ListParagraph"/>
        <w:numPr>
          <w:ilvl w:val="0"/>
          <w:numId w:val="3"/>
        </w:numPr>
        <w:rPr>
          <w:sz w:val="24"/>
          <w:szCs w:val="32"/>
        </w:rPr>
      </w:pPr>
      <w:r>
        <w:rPr>
          <w:sz w:val="24"/>
          <w:szCs w:val="32"/>
        </w:rPr>
        <w:t>Use the material in a fume hood if possible.</w:t>
      </w:r>
    </w:p>
    <w:p w14:paraId="0C4A1F02" w14:textId="16BD8CDD" w:rsidR="00957938" w:rsidRDefault="00957938" w:rsidP="00957938">
      <w:pPr>
        <w:pStyle w:val="ListParagraph"/>
        <w:numPr>
          <w:ilvl w:val="0"/>
          <w:numId w:val="3"/>
        </w:numPr>
        <w:rPr>
          <w:sz w:val="24"/>
          <w:szCs w:val="32"/>
        </w:rPr>
      </w:pPr>
      <w:r>
        <w:rPr>
          <w:sz w:val="24"/>
          <w:szCs w:val="32"/>
        </w:rPr>
        <w:t>Only use gas cylinders in a well-ventilated area. Avoid small spaces, closets, cold rooms, and other rooms with poor ventilation.</w:t>
      </w:r>
      <w:r w:rsidR="00825AE0">
        <w:rPr>
          <w:sz w:val="24"/>
          <w:szCs w:val="32"/>
        </w:rPr>
        <w:t xml:space="preserve"> All gases, even non-hazardous ones, are capable of causing asphyxiation by replacing oxygen in enclosed spaces.</w:t>
      </w:r>
    </w:p>
    <w:p w14:paraId="11669192" w14:textId="25DE5518" w:rsidR="002E0279" w:rsidRPr="00825AE0" w:rsidRDefault="00E12ADA" w:rsidP="00825AE0">
      <w:pPr>
        <w:pStyle w:val="ListParagraph"/>
        <w:numPr>
          <w:ilvl w:val="0"/>
          <w:numId w:val="3"/>
        </w:numPr>
        <w:rPr>
          <w:sz w:val="24"/>
          <w:szCs w:val="32"/>
        </w:rPr>
      </w:pPr>
      <w:r w:rsidRPr="00825AE0">
        <w:rPr>
          <w:sz w:val="24"/>
          <w:szCs w:val="32"/>
        </w:rPr>
        <w:t>If the gas has another hazard class, use appropriate exposure controls for that hazard class.</w:t>
      </w:r>
    </w:p>
    <w:p w14:paraId="610A0D2B" w14:textId="77777777" w:rsidR="00D80621" w:rsidRDefault="00D80621" w:rsidP="00D80621">
      <w:pPr>
        <w:rPr>
          <w:b/>
          <w:sz w:val="24"/>
          <w:szCs w:val="32"/>
        </w:rPr>
      </w:pPr>
      <w:r>
        <w:rPr>
          <w:b/>
          <w:sz w:val="24"/>
          <w:szCs w:val="32"/>
        </w:rPr>
        <w:t>Minimum PPE Requirements</w:t>
      </w:r>
    </w:p>
    <w:p w14:paraId="59A81F6F" w14:textId="77777777" w:rsidR="00D80621" w:rsidRDefault="00D80621" w:rsidP="00D80621">
      <w:pPr>
        <w:rPr>
          <w:sz w:val="24"/>
          <w:szCs w:val="32"/>
        </w:rPr>
      </w:pPr>
      <w:r>
        <w:rPr>
          <w:sz w:val="24"/>
          <w:szCs w:val="32"/>
        </w:rPr>
        <w:t>PPE requirements include:</w:t>
      </w:r>
    </w:p>
    <w:p w14:paraId="21CAC5FC" w14:textId="77777777" w:rsidR="00D80621" w:rsidRDefault="00D80621" w:rsidP="00D80621">
      <w:pPr>
        <w:pStyle w:val="ListParagraph"/>
        <w:numPr>
          <w:ilvl w:val="0"/>
          <w:numId w:val="8"/>
        </w:numPr>
        <w:spacing w:line="256" w:lineRule="auto"/>
        <w:rPr>
          <w:sz w:val="24"/>
          <w:szCs w:val="32"/>
          <w:highlight w:val="yellow"/>
        </w:rPr>
      </w:pPr>
      <w:r>
        <w:rPr>
          <w:sz w:val="24"/>
          <w:szCs w:val="32"/>
          <w:highlight w:val="yellow"/>
        </w:rPr>
        <w:t>Lab coat (if applicable to your lab)</w:t>
      </w:r>
    </w:p>
    <w:p w14:paraId="7B1A1428" w14:textId="77777777" w:rsidR="00D80621" w:rsidRDefault="00D80621" w:rsidP="00D80621">
      <w:pPr>
        <w:pStyle w:val="ListParagraph"/>
        <w:numPr>
          <w:ilvl w:val="0"/>
          <w:numId w:val="8"/>
        </w:numPr>
        <w:spacing w:line="256" w:lineRule="auto"/>
        <w:rPr>
          <w:sz w:val="24"/>
          <w:szCs w:val="32"/>
          <w:highlight w:val="yellow"/>
        </w:rPr>
      </w:pPr>
      <w:r>
        <w:rPr>
          <w:sz w:val="24"/>
          <w:szCs w:val="32"/>
          <w:highlight w:val="yellow"/>
        </w:rPr>
        <w:t>Safety glasses/goggles (if applicable to your lab)</w:t>
      </w:r>
    </w:p>
    <w:p w14:paraId="32844AE7" w14:textId="77777777" w:rsidR="00D80621" w:rsidRDefault="00D80621" w:rsidP="00D80621">
      <w:pPr>
        <w:pStyle w:val="ListParagraph"/>
        <w:numPr>
          <w:ilvl w:val="0"/>
          <w:numId w:val="8"/>
        </w:numPr>
        <w:spacing w:line="256" w:lineRule="auto"/>
        <w:rPr>
          <w:sz w:val="24"/>
          <w:szCs w:val="32"/>
          <w:highlight w:val="yellow"/>
        </w:rPr>
      </w:pPr>
      <w:r>
        <w:rPr>
          <w:sz w:val="24"/>
          <w:szCs w:val="32"/>
          <w:highlight w:val="yellow"/>
        </w:rPr>
        <w:t>Nitrile gloves (if applicable to your lab)</w:t>
      </w:r>
    </w:p>
    <w:p w14:paraId="183A49E0" w14:textId="77777777" w:rsidR="00D80621" w:rsidRDefault="00D80621" w:rsidP="00D80621">
      <w:pPr>
        <w:pStyle w:val="ListParagraph"/>
        <w:numPr>
          <w:ilvl w:val="0"/>
          <w:numId w:val="8"/>
        </w:numPr>
        <w:spacing w:line="256" w:lineRule="auto"/>
        <w:rPr>
          <w:sz w:val="24"/>
          <w:szCs w:val="32"/>
          <w:highlight w:val="yellow"/>
        </w:rPr>
      </w:pPr>
      <w:r>
        <w:rPr>
          <w:sz w:val="24"/>
          <w:szCs w:val="32"/>
          <w:highlight w:val="yellow"/>
        </w:rPr>
        <w:t>Additional PPE (if applicable)</w:t>
      </w:r>
    </w:p>
    <w:p w14:paraId="0F30D492" w14:textId="7B8F0BEF" w:rsidR="00D80621" w:rsidRDefault="00D80621" w:rsidP="00D80621">
      <w:pPr>
        <w:rPr>
          <w:sz w:val="24"/>
          <w:szCs w:val="32"/>
        </w:rPr>
      </w:pPr>
      <w:r>
        <w:rPr>
          <w:sz w:val="24"/>
          <w:szCs w:val="32"/>
        </w:rPr>
        <w:t>If procedure or material-specific PPE is required beyond the minimum listed above, another SOP should be available for that procedure or material. (Example: neoprene gloves, etc.)</w:t>
      </w:r>
    </w:p>
    <w:p w14:paraId="2AA791D7" w14:textId="52E2BFD3" w:rsidR="002E0279" w:rsidRDefault="002E0279" w:rsidP="002E0279">
      <w:pPr>
        <w:rPr>
          <w:b/>
          <w:i/>
          <w:sz w:val="28"/>
          <w:szCs w:val="32"/>
        </w:rPr>
      </w:pPr>
      <w:r w:rsidRPr="0049623D">
        <w:rPr>
          <w:b/>
          <w:i/>
          <w:sz w:val="28"/>
          <w:szCs w:val="32"/>
        </w:rPr>
        <w:t>Spill &amp; Accident Planning</w:t>
      </w:r>
      <w:r w:rsidR="00F043C1" w:rsidRPr="0049623D">
        <w:rPr>
          <w:b/>
          <w:i/>
          <w:sz w:val="28"/>
          <w:szCs w:val="32"/>
        </w:rPr>
        <w:t>/What-If</w:t>
      </w:r>
    </w:p>
    <w:p w14:paraId="0D970854" w14:textId="22E67CBA" w:rsidR="00D2790C" w:rsidRDefault="004B353F" w:rsidP="001D0C0A">
      <w:pPr>
        <w:rPr>
          <w:sz w:val="24"/>
          <w:szCs w:val="32"/>
        </w:rPr>
      </w:pPr>
      <w:r w:rsidRPr="00D80621">
        <w:rPr>
          <w:sz w:val="24"/>
          <w:szCs w:val="32"/>
        </w:rPr>
        <w:t>During lab-specific training, researchers should be informed where fire extinguishers, safety showers, alarm pull stations, and egress routes are. All labs are set up so that this emergency equipment is readily available and near exits.</w:t>
      </w:r>
    </w:p>
    <w:p w14:paraId="7F4BAF3A" w14:textId="31926813" w:rsidR="006802FD" w:rsidRDefault="006802FD" w:rsidP="001D0C0A">
      <w:pPr>
        <w:rPr>
          <w:sz w:val="24"/>
          <w:szCs w:val="32"/>
        </w:rPr>
      </w:pPr>
    </w:p>
    <w:p w14:paraId="58AF792B" w14:textId="5EC83F69" w:rsidR="001966C0" w:rsidRDefault="001966C0" w:rsidP="001D0C0A">
      <w:pPr>
        <w:rPr>
          <w:sz w:val="24"/>
          <w:szCs w:val="32"/>
        </w:rPr>
      </w:pPr>
    </w:p>
    <w:p w14:paraId="4335825A" w14:textId="77777777" w:rsidR="001966C0" w:rsidRPr="00D80621" w:rsidRDefault="001966C0" w:rsidP="001D0C0A">
      <w:pPr>
        <w:rPr>
          <w:sz w:val="24"/>
          <w:szCs w:val="32"/>
        </w:rPr>
      </w:pPr>
    </w:p>
    <w:tbl>
      <w:tblPr>
        <w:tblStyle w:val="TableGrid"/>
        <w:tblW w:w="9355" w:type="dxa"/>
        <w:tblLook w:val="04A0" w:firstRow="1" w:lastRow="0" w:firstColumn="1" w:lastColumn="0" w:noHBand="0" w:noVBand="1"/>
      </w:tblPr>
      <w:tblGrid>
        <w:gridCol w:w="1255"/>
        <w:gridCol w:w="8100"/>
      </w:tblGrid>
      <w:tr w:rsidR="00E92DB8" w:rsidRPr="0049623D" w14:paraId="74742FA6" w14:textId="77777777" w:rsidTr="006802FD">
        <w:trPr>
          <w:cantSplit/>
        </w:trPr>
        <w:tc>
          <w:tcPr>
            <w:tcW w:w="9355" w:type="dxa"/>
            <w:gridSpan w:val="2"/>
            <w:shd w:val="clear" w:color="auto" w:fill="D9D9D9" w:themeFill="background1" w:themeFillShade="D9"/>
          </w:tcPr>
          <w:p w14:paraId="3D1D5F03" w14:textId="06E2E47E" w:rsidR="00E92DB8" w:rsidRPr="0049623D" w:rsidRDefault="00E92DB8" w:rsidP="00000679">
            <w:pPr>
              <w:jc w:val="center"/>
              <w:rPr>
                <w:rFonts w:asciiTheme="minorHAnsi" w:hAnsiTheme="minorHAnsi"/>
                <w:b/>
                <w:bCs/>
                <w:sz w:val="24"/>
              </w:rPr>
            </w:pPr>
            <w:r w:rsidRPr="0049623D">
              <w:rPr>
                <w:rFonts w:asciiTheme="minorHAnsi" w:hAnsiTheme="minorHAnsi"/>
                <w:b/>
                <w:bCs/>
                <w:sz w:val="24"/>
              </w:rPr>
              <w:t>Lab-Specific Emergency Response Procedures</w:t>
            </w:r>
          </w:p>
        </w:tc>
      </w:tr>
      <w:tr w:rsidR="00E92DB8" w:rsidRPr="0049623D" w14:paraId="0DE2BA25" w14:textId="77777777" w:rsidTr="00E92DB8">
        <w:tc>
          <w:tcPr>
            <w:tcW w:w="1255" w:type="dxa"/>
          </w:tcPr>
          <w:p w14:paraId="68FA0612" w14:textId="3F30704B" w:rsidR="00E92DB8" w:rsidRPr="0049623D" w:rsidRDefault="00F67A3D" w:rsidP="00F67A3D">
            <w:pPr>
              <w:rPr>
                <w:rFonts w:asciiTheme="minorHAnsi" w:hAnsiTheme="minorHAnsi"/>
                <w:b/>
                <w:sz w:val="24"/>
              </w:rPr>
            </w:pPr>
            <w:r>
              <w:rPr>
                <w:rFonts w:asciiTheme="minorHAnsi" w:hAnsiTheme="minorHAnsi"/>
                <w:b/>
                <w:sz w:val="24"/>
              </w:rPr>
              <w:t>Leak</w:t>
            </w:r>
          </w:p>
        </w:tc>
        <w:tc>
          <w:tcPr>
            <w:tcW w:w="8100" w:type="dxa"/>
          </w:tcPr>
          <w:p w14:paraId="5AC7D19B" w14:textId="4CB085BC" w:rsidR="00E92DB8" w:rsidRPr="00E31B62" w:rsidRDefault="00E31B62" w:rsidP="00E31B62">
            <w:pPr>
              <w:rPr>
                <w:rFonts w:asciiTheme="minorHAnsi" w:hAnsiTheme="minorHAnsi"/>
                <w:bCs/>
                <w:i/>
                <w:sz w:val="24"/>
                <w:highlight w:val="yellow"/>
              </w:rPr>
            </w:pPr>
            <w:r w:rsidRPr="00E31B62">
              <w:rPr>
                <w:rFonts w:asciiTheme="minorHAnsi" w:hAnsiTheme="minorHAnsi"/>
                <w:bCs/>
                <w:i/>
                <w:sz w:val="24"/>
                <w:highlight w:val="yellow"/>
              </w:rPr>
              <w:t xml:space="preserve">Describe your lab’s plan for responding to leaks of the cylinders you regularly use. </w:t>
            </w:r>
            <w:r w:rsidR="00F67A3D" w:rsidRPr="00E31B62">
              <w:rPr>
                <w:rFonts w:asciiTheme="minorHAnsi" w:hAnsiTheme="minorHAnsi"/>
                <w:bCs/>
                <w:i/>
                <w:sz w:val="24"/>
                <w:highlight w:val="yellow"/>
              </w:rPr>
              <w:t xml:space="preserve">This may include moving the cylinder to a well-ventilated, isolated location, </w:t>
            </w:r>
            <w:r w:rsidRPr="00E31B62">
              <w:rPr>
                <w:rFonts w:asciiTheme="minorHAnsi" w:hAnsiTheme="minorHAnsi"/>
                <w:bCs/>
                <w:i/>
                <w:sz w:val="24"/>
                <w:highlight w:val="yellow"/>
              </w:rPr>
              <w:t>calling the manufacturer, or evacuating the building. If the leak is flammable, toxic, a stench chemical, or is large enough that you cannot attempt to control it on your own, contact DEHS for assistance at (612) 626-6002.</w:t>
            </w:r>
          </w:p>
        </w:tc>
      </w:tr>
      <w:tr w:rsidR="00E92DB8" w:rsidRPr="0049623D" w14:paraId="09870B88" w14:textId="77777777" w:rsidTr="00E92DB8">
        <w:tc>
          <w:tcPr>
            <w:tcW w:w="1255" w:type="dxa"/>
          </w:tcPr>
          <w:p w14:paraId="02C18436" w14:textId="1CD20533" w:rsidR="00E92DB8" w:rsidRPr="0049623D" w:rsidRDefault="00E92DB8" w:rsidP="00000679">
            <w:pPr>
              <w:rPr>
                <w:rFonts w:asciiTheme="minorHAnsi" w:hAnsiTheme="minorHAnsi"/>
                <w:b/>
                <w:sz w:val="24"/>
              </w:rPr>
            </w:pPr>
            <w:r w:rsidRPr="0049623D">
              <w:rPr>
                <w:rFonts w:asciiTheme="minorHAnsi" w:hAnsiTheme="minorHAnsi"/>
                <w:b/>
                <w:sz w:val="24"/>
              </w:rPr>
              <w:t>Utility Failure</w:t>
            </w:r>
          </w:p>
        </w:tc>
        <w:tc>
          <w:tcPr>
            <w:tcW w:w="8100" w:type="dxa"/>
          </w:tcPr>
          <w:p w14:paraId="54F9ADA2" w14:textId="17125F0F" w:rsidR="00E92DB8" w:rsidRPr="0049623D" w:rsidRDefault="0049623D" w:rsidP="00F67A3D">
            <w:pPr>
              <w:rPr>
                <w:rFonts w:asciiTheme="minorHAnsi" w:hAnsiTheme="minorHAnsi"/>
                <w:bCs/>
                <w:i/>
                <w:sz w:val="24"/>
              </w:rPr>
            </w:pPr>
            <w:r w:rsidRPr="0049623D">
              <w:rPr>
                <w:rFonts w:asciiTheme="minorHAnsi" w:hAnsiTheme="minorHAnsi"/>
                <w:bCs/>
                <w:i/>
                <w:sz w:val="24"/>
                <w:highlight w:val="yellow"/>
              </w:rPr>
              <w:t>Describe lab-</w:t>
            </w:r>
            <w:r w:rsidR="00F67A3D">
              <w:rPr>
                <w:rFonts w:asciiTheme="minorHAnsi" w:hAnsiTheme="minorHAnsi"/>
                <w:bCs/>
                <w:i/>
                <w:sz w:val="24"/>
                <w:highlight w:val="yellow"/>
              </w:rPr>
              <w:t>specific procedures related to gas cylinders</w:t>
            </w:r>
            <w:r w:rsidRPr="0049623D">
              <w:rPr>
                <w:rFonts w:asciiTheme="minorHAnsi" w:hAnsiTheme="minorHAnsi"/>
                <w:bCs/>
                <w:i/>
                <w:sz w:val="24"/>
                <w:highlight w:val="yellow"/>
              </w:rPr>
              <w:t xml:space="preserve"> for responding to a power, water, or gas outage.</w:t>
            </w:r>
          </w:p>
        </w:tc>
      </w:tr>
    </w:tbl>
    <w:p w14:paraId="0CE33AD9" w14:textId="77777777" w:rsidR="00E92DB8" w:rsidRPr="00A14147" w:rsidRDefault="00E92DB8" w:rsidP="002E0279">
      <w:pPr>
        <w:rPr>
          <w:sz w:val="2"/>
          <w:szCs w:val="32"/>
        </w:rPr>
      </w:pPr>
    </w:p>
    <w:tbl>
      <w:tblPr>
        <w:tblStyle w:val="TableGrid"/>
        <w:tblW w:w="0" w:type="auto"/>
        <w:tblLook w:val="04A0" w:firstRow="1" w:lastRow="0" w:firstColumn="1" w:lastColumn="0" w:noHBand="0" w:noVBand="1"/>
      </w:tblPr>
      <w:tblGrid>
        <w:gridCol w:w="2245"/>
        <w:gridCol w:w="3630"/>
        <w:gridCol w:w="3475"/>
      </w:tblGrid>
      <w:tr w:rsidR="0049623D" w:rsidRPr="0049623D" w14:paraId="068B48DF" w14:textId="77777777" w:rsidTr="006479D1">
        <w:trPr>
          <w:trHeight w:val="260"/>
        </w:trPr>
        <w:tc>
          <w:tcPr>
            <w:tcW w:w="2245" w:type="dxa"/>
            <w:shd w:val="clear" w:color="auto" w:fill="D9D9D9" w:themeFill="background1" w:themeFillShade="D9"/>
            <w:vAlign w:val="center"/>
          </w:tcPr>
          <w:p w14:paraId="156DF8B2" w14:textId="0E3483DB" w:rsidR="0049623D" w:rsidRPr="0049623D" w:rsidRDefault="006479D1" w:rsidP="006479D1">
            <w:pPr>
              <w:jc w:val="center"/>
              <w:rPr>
                <w:rFonts w:asciiTheme="minorHAnsi" w:hAnsiTheme="minorHAnsi"/>
                <w:b/>
                <w:sz w:val="24"/>
              </w:rPr>
            </w:pPr>
            <w:r>
              <w:rPr>
                <w:rFonts w:asciiTheme="minorHAnsi" w:hAnsiTheme="minorHAnsi"/>
                <w:b/>
                <w:sz w:val="24"/>
              </w:rPr>
              <w:t>Route of Exposure</w:t>
            </w:r>
          </w:p>
        </w:tc>
        <w:tc>
          <w:tcPr>
            <w:tcW w:w="3630" w:type="dxa"/>
            <w:shd w:val="clear" w:color="auto" w:fill="D9D9D9" w:themeFill="background1" w:themeFillShade="D9"/>
          </w:tcPr>
          <w:p w14:paraId="36EA88C6" w14:textId="2877415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Signs/Symptoms of Exposure</w:t>
            </w:r>
          </w:p>
        </w:tc>
        <w:tc>
          <w:tcPr>
            <w:tcW w:w="3475" w:type="dxa"/>
            <w:shd w:val="clear" w:color="auto" w:fill="D9D9D9" w:themeFill="background1" w:themeFillShade="D9"/>
          </w:tcPr>
          <w:p w14:paraId="5E8DF20A" w14:textId="0211A40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First Aid/Response</w:t>
            </w:r>
          </w:p>
        </w:tc>
      </w:tr>
      <w:tr w:rsidR="00F67A3D" w:rsidRPr="0049623D" w14:paraId="40AF2536" w14:textId="3335358F" w:rsidTr="006479D1">
        <w:trPr>
          <w:trHeight w:val="260"/>
        </w:trPr>
        <w:tc>
          <w:tcPr>
            <w:tcW w:w="2245" w:type="dxa"/>
            <w:vAlign w:val="center"/>
          </w:tcPr>
          <w:p w14:paraId="6DA81F9E" w14:textId="77777777" w:rsidR="00F67A3D" w:rsidRPr="004B353F" w:rsidRDefault="00F67A3D" w:rsidP="006479D1">
            <w:pPr>
              <w:jc w:val="center"/>
              <w:rPr>
                <w:rFonts w:asciiTheme="minorHAnsi" w:hAnsiTheme="minorHAnsi"/>
                <w:b/>
                <w:sz w:val="24"/>
              </w:rPr>
            </w:pPr>
            <w:r w:rsidRPr="004B353F">
              <w:rPr>
                <w:rFonts w:asciiTheme="minorHAnsi" w:hAnsiTheme="minorHAnsi"/>
                <w:b/>
                <w:sz w:val="24"/>
              </w:rPr>
              <w:t>Inhalation</w:t>
            </w:r>
          </w:p>
        </w:tc>
        <w:tc>
          <w:tcPr>
            <w:tcW w:w="3630" w:type="dxa"/>
            <w:vMerge w:val="restart"/>
            <w:vAlign w:val="center"/>
          </w:tcPr>
          <w:p w14:paraId="65D1E79B" w14:textId="5148A056" w:rsidR="00F67A3D" w:rsidRPr="004B353F" w:rsidRDefault="00F67A3D" w:rsidP="006479D1">
            <w:pPr>
              <w:jc w:val="center"/>
              <w:rPr>
                <w:rFonts w:asciiTheme="minorHAnsi" w:hAnsiTheme="minorHAnsi"/>
                <w:bCs/>
                <w:sz w:val="24"/>
              </w:rPr>
            </w:pPr>
            <w:r>
              <w:rPr>
                <w:rFonts w:asciiTheme="minorHAnsi" w:hAnsiTheme="minorHAnsi"/>
                <w:bCs/>
                <w:sz w:val="24"/>
              </w:rPr>
              <w:t>These signs/symptoms will vary depending on the specific gases in use. Consult the SDS or a specific material SOP for more information.</w:t>
            </w:r>
          </w:p>
        </w:tc>
        <w:tc>
          <w:tcPr>
            <w:tcW w:w="3475" w:type="dxa"/>
            <w:vAlign w:val="center"/>
          </w:tcPr>
          <w:p w14:paraId="1B548D10" w14:textId="56BB6B8A" w:rsidR="00F67A3D" w:rsidRPr="004B353F" w:rsidRDefault="00F67A3D" w:rsidP="006479D1">
            <w:pPr>
              <w:jc w:val="center"/>
              <w:rPr>
                <w:rFonts w:asciiTheme="minorHAnsi" w:hAnsiTheme="minorHAnsi"/>
                <w:bCs/>
                <w:sz w:val="24"/>
              </w:rPr>
            </w:pPr>
            <w:r w:rsidRPr="004B353F">
              <w:rPr>
                <w:rFonts w:asciiTheme="minorHAnsi" w:hAnsiTheme="minorHAnsi"/>
                <w:bCs/>
                <w:sz w:val="24"/>
              </w:rPr>
              <w:t>Move person to fresh air. Seek medical attention if symptoms do not improve.</w:t>
            </w:r>
          </w:p>
        </w:tc>
      </w:tr>
      <w:tr w:rsidR="00F67A3D" w:rsidRPr="0049623D" w14:paraId="70AF0E58" w14:textId="15B457B0" w:rsidTr="006479D1">
        <w:tc>
          <w:tcPr>
            <w:tcW w:w="2245" w:type="dxa"/>
            <w:vAlign w:val="center"/>
          </w:tcPr>
          <w:p w14:paraId="1A3364C8" w14:textId="77777777" w:rsidR="00F67A3D" w:rsidRPr="004B353F" w:rsidRDefault="00F67A3D" w:rsidP="006479D1">
            <w:pPr>
              <w:jc w:val="center"/>
              <w:rPr>
                <w:rFonts w:asciiTheme="minorHAnsi" w:hAnsiTheme="minorHAnsi"/>
                <w:b/>
                <w:sz w:val="24"/>
              </w:rPr>
            </w:pPr>
            <w:r w:rsidRPr="004B353F">
              <w:rPr>
                <w:rFonts w:asciiTheme="minorHAnsi" w:hAnsiTheme="minorHAnsi"/>
                <w:b/>
                <w:sz w:val="24"/>
              </w:rPr>
              <w:t>Eye Absorption/Contact</w:t>
            </w:r>
          </w:p>
        </w:tc>
        <w:tc>
          <w:tcPr>
            <w:tcW w:w="3630" w:type="dxa"/>
            <w:vMerge/>
            <w:vAlign w:val="center"/>
          </w:tcPr>
          <w:p w14:paraId="40AE102B" w14:textId="04A08CCF" w:rsidR="00F67A3D" w:rsidRPr="004B353F" w:rsidRDefault="00F67A3D" w:rsidP="006479D1">
            <w:pPr>
              <w:jc w:val="center"/>
              <w:rPr>
                <w:rFonts w:asciiTheme="minorHAnsi" w:hAnsiTheme="minorHAnsi"/>
                <w:bCs/>
                <w:sz w:val="24"/>
              </w:rPr>
            </w:pPr>
          </w:p>
        </w:tc>
        <w:tc>
          <w:tcPr>
            <w:tcW w:w="3475" w:type="dxa"/>
            <w:vAlign w:val="center"/>
          </w:tcPr>
          <w:p w14:paraId="4294A93E" w14:textId="34F92A72" w:rsidR="00F67A3D" w:rsidRPr="004B353F" w:rsidRDefault="00F67A3D" w:rsidP="006479D1">
            <w:pPr>
              <w:jc w:val="center"/>
              <w:rPr>
                <w:rFonts w:asciiTheme="minorHAnsi" w:hAnsiTheme="minorHAnsi"/>
                <w:bCs/>
                <w:sz w:val="24"/>
              </w:rPr>
            </w:pPr>
            <w:r w:rsidRPr="004B353F">
              <w:rPr>
                <w:rFonts w:asciiTheme="minorHAnsi" w:hAnsiTheme="minorHAnsi"/>
                <w:bCs/>
                <w:sz w:val="24"/>
              </w:rPr>
              <w:t>Use emergency eyewash and rinse eyes for a minimum of 15 minutes.</w:t>
            </w:r>
          </w:p>
        </w:tc>
      </w:tr>
      <w:tr w:rsidR="00F67A3D" w:rsidRPr="0049623D" w14:paraId="4027014B" w14:textId="5C2D931A" w:rsidTr="006479D1">
        <w:tc>
          <w:tcPr>
            <w:tcW w:w="2245" w:type="dxa"/>
            <w:vAlign w:val="center"/>
          </w:tcPr>
          <w:p w14:paraId="06C6462D" w14:textId="77777777" w:rsidR="00F67A3D" w:rsidRPr="004B353F" w:rsidRDefault="00F67A3D" w:rsidP="006479D1">
            <w:pPr>
              <w:jc w:val="center"/>
              <w:rPr>
                <w:rFonts w:asciiTheme="minorHAnsi" w:hAnsiTheme="minorHAnsi"/>
                <w:b/>
                <w:sz w:val="24"/>
              </w:rPr>
            </w:pPr>
            <w:r w:rsidRPr="004B353F">
              <w:rPr>
                <w:rFonts w:asciiTheme="minorHAnsi" w:hAnsiTheme="minorHAnsi"/>
                <w:b/>
                <w:sz w:val="24"/>
              </w:rPr>
              <w:t>Skin Contact</w:t>
            </w:r>
          </w:p>
        </w:tc>
        <w:tc>
          <w:tcPr>
            <w:tcW w:w="3630" w:type="dxa"/>
            <w:vMerge/>
            <w:vAlign w:val="center"/>
          </w:tcPr>
          <w:p w14:paraId="7F7ED7BA" w14:textId="1E469EA5" w:rsidR="00F67A3D" w:rsidRPr="004B353F" w:rsidRDefault="00F67A3D" w:rsidP="006479D1">
            <w:pPr>
              <w:jc w:val="center"/>
              <w:rPr>
                <w:rFonts w:asciiTheme="minorHAnsi" w:hAnsiTheme="minorHAnsi"/>
                <w:bCs/>
                <w:sz w:val="24"/>
              </w:rPr>
            </w:pPr>
          </w:p>
        </w:tc>
        <w:tc>
          <w:tcPr>
            <w:tcW w:w="3475" w:type="dxa"/>
            <w:vAlign w:val="center"/>
          </w:tcPr>
          <w:p w14:paraId="5B7135A5" w14:textId="2F226CF9" w:rsidR="00F67A3D" w:rsidRPr="004B353F" w:rsidRDefault="00F67A3D" w:rsidP="006479D1">
            <w:pPr>
              <w:jc w:val="center"/>
              <w:rPr>
                <w:rFonts w:asciiTheme="minorHAnsi" w:hAnsiTheme="minorHAnsi"/>
                <w:bCs/>
                <w:sz w:val="24"/>
              </w:rPr>
            </w:pPr>
            <w:r w:rsidRPr="004B353F">
              <w:rPr>
                <w:rFonts w:asciiTheme="minorHAnsi" w:hAnsiTheme="minorHAnsi"/>
                <w:bCs/>
                <w:sz w:val="24"/>
              </w:rPr>
              <w:t>Remove contaminated gloves or clothing, wash with soap and rinse. If major exposure, use safety shower.</w:t>
            </w:r>
          </w:p>
        </w:tc>
      </w:tr>
      <w:tr w:rsidR="00611334" w:rsidRPr="0049623D" w14:paraId="7F88E6E3" w14:textId="2123D5AF" w:rsidTr="006479D1">
        <w:tc>
          <w:tcPr>
            <w:tcW w:w="2245" w:type="dxa"/>
            <w:vAlign w:val="center"/>
          </w:tcPr>
          <w:p w14:paraId="33696480"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Ingestion</w:t>
            </w:r>
          </w:p>
        </w:tc>
        <w:tc>
          <w:tcPr>
            <w:tcW w:w="3630" w:type="dxa"/>
            <w:vAlign w:val="center"/>
          </w:tcPr>
          <w:p w14:paraId="6D415C90" w14:textId="36ED6328" w:rsidR="00611334" w:rsidRPr="004B353F" w:rsidRDefault="006479D1" w:rsidP="006479D1">
            <w:pPr>
              <w:jc w:val="center"/>
              <w:rPr>
                <w:rFonts w:asciiTheme="minorHAnsi" w:hAnsiTheme="minorHAnsi"/>
                <w:bCs/>
                <w:sz w:val="24"/>
              </w:rPr>
            </w:pPr>
            <w:r>
              <w:rPr>
                <w:rFonts w:asciiTheme="minorHAnsi" w:hAnsiTheme="minorHAnsi"/>
                <w:bCs/>
                <w:sz w:val="24"/>
              </w:rPr>
              <w:t>Ingestion is unlikely in the standard lab setting.</w:t>
            </w:r>
          </w:p>
        </w:tc>
        <w:tc>
          <w:tcPr>
            <w:tcW w:w="3475" w:type="dxa"/>
            <w:vAlign w:val="center"/>
          </w:tcPr>
          <w:p w14:paraId="76C94CC6" w14:textId="4C01B5D2"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611334" w:rsidRPr="0049623D" w14:paraId="7F638297" w14:textId="23933C98" w:rsidTr="006479D1">
        <w:tc>
          <w:tcPr>
            <w:tcW w:w="2245" w:type="dxa"/>
            <w:vAlign w:val="center"/>
          </w:tcPr>
          <w:p w14:paraId="420E85E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Injection</w:t>
            </w:r>
          </w:p>
        </w:tc>
        <w:tc>
          <w:tcPr>
            <w:tcW w:w="3630" w:type="dxa"/>
            <w:vAlign w:val="center"/>
          </w:tcPr>
          <w:p w14:paraId="4234D1DA" w14:textId="4D42E020" w:rsidR="00611334" w:rsidRPr="004B353F" w:rsidRDefault="006479D1" w:rsidP="006479D1">
            <w:pPr>
              <w:jc w:val="center"/>
              <w:rPr>
                <w:rFonts w:asciiTheme="minorHAnsi" w:hAnsiTheme="minorHAnsi"/>
                <w:bCs/>
                <w:sz w:val="24"/>
              </w:rPr>
            </w:pPr>
            <w:r>
              <w:rPr>
                <w:rFonts w:asciiTheme="minorHAnsi" w:hAnsiTheme="minorHAnsi"/>
                <w:bCs/>
                <w:sz w:val="24"/>
              </w:rPr>
              <w:t>Injection is unlikely in the standard lab setting.</w:t>
            </w:r>
          </w:p>
        </w:tc>
        <w:tc>
          <w:tcPr>
            <w:tcW w:w="3475" w:type="dxa"/>
            <w:vAlign w:val="center"/>
          </w:tcPr>
          <w:p w14:paraId="62886603" w14:textId="78A90D48"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bl>
    <w:p w14:paraId="437B3285" w14:textId="44168457" w:rsidR="00825AE0" w:rsidRPr="00D80621" w:rsidRDefault="00825AE0" w:rsidP="00825AE0">
      <w:pPr>
        <w:rPr>
          <w:b/>
          <w:i/>
          <w:color w:val="000000" w:themeColor="text1"/>
          <w:sz w:val="24"/>
          <w:szCs w:val="32"/>
        </w:rPr>
      </w:pPr>
      <w:r w:rsidRPr="00D80621">
        <w:rPr>
          <w:color w:val="000000" w:themeColor="text1"/>
          <w:sz w:val="24"/>
          <w:szCs w:val="32"/>
        </w:rPr>
        <w:t>All injuries, or damage to the facility must be reported to and investigated by DEHS. Injuries which require medical treatment require a First Report of Injury (FROI) to be filed.</w:t>
      </w:r>
    </w:p>
    <w:p w14:paraId="55800831" w14:textId="77777777" w:rsidR="002E0279" w:rsidRDefault="002E0279" w:rsidP="002E0279">
      <w:pPr>
        <w:rPr>
          <w:b/>
          <w:i/>
          <w:sz w:val="28"/>
          <w:szCs w:val="32"/>
        </w:rPr>
      </w:pPr>
      <w:r w:rsidRPr="0049623D">
        <w:rPr>
          <w:b/>
          <w:i/>
          <w:sz w:val="28"/>
          <w:szCs w:val="32"/>
        </w:rPr>
        <w:t>Waste Storage and Disposal</w:t>
      </w:r>
    </w:p>
    <w:p w14:paraId="12943D49" w14:textId="1AE5E8F4" w:rsidR="00957938" w:rsidRDefault="00957938" w:rsidP="00D2790C">
      <w:pPr>
        <w:pStyle w:val="ListParagraph"/>
        <w:numPr>
          <w:ilvl w:val="0"/>
          <w:numId w:val="6"/>
        </w:numPr>
        <w:rPr>
          <w:sz w:val="24"/>
          <w:szCs w:val="32"/>
        </w:rPr>
      </w:pPr>
      <w:r>
        <w:rPr>
          <w:sz w:val="24"/>
          <w:szCs w:val="32"/>
        </w:rPr>
        <w:t xml:space="preserve">Empty gas </w:t>
      </w:r>
      <w:r w:rsidR="00F67A3D">
        <w:rPr>
          <w:sz w:val="24"/>
          <w:szCs w:val="32"/>
        </w:rPr>
        <w:t>cylinders</w:t>
      </w:r>
      <w:r>
        <w:rPr>
          <w:sz w:val="24"/>
          <w:szCs w:val="32"/>
        </w:rPr>
        <w:t xml:space="preserve"> should have “Empty” and the date emptied written on them.</w:t>
      </w:r>
      <w:r w:rsidR="00F67A3D">
        <w:rPr>
          <w:sz w:val="24"/>
          <w:szCs w:val="32"/>
        </w:rPr>
        <w:t xml:space="preserve"> Do not remove the labeling or hazard markings.</w:t>
      </w:r>
    </w:p>
    <w:p w14:paraId="23715C42" w14:textId="55FD94BD" w:rsidR="00957938" w:rsidRDefault="00957938" w:rsidP="00D2790C">
      <w:pPr>
        <w:pStyle w:val="ListParagraph"/>
        <w:numPr>
          <w:ilvl w:val="0"/>
          <w:numId w:val="6"/>
        </w:numPr>
        <w:rPr>
          <w:sz w:val="24"/>
          <w:szCs w:val="32"/>
        </w:rPr>
      </w:pPr>
      <w:r>
        <w:rPr>
          <w:sz w:val="24"/>
          <w:szCs w:val="32"/>
        </w:rPr>
        <w:t>Empty gas cylinders should be treated as if they were still full, as residual pressure can still be dangerous. They should have protective valve caps and be stored in an empty cylinder storage area until they can be disposed of.</w:t>
      </w:r>
    </w:p>
    <w:p w14:paraId="07334C2A" w14:textId="0CC7BCA2" w:rsidR="00957938" w:rsidRDefault="00494388" w:rsidP="00D2790C">
      <w:pPr>
        <w:pStyle w:val="ListParagraph"/>
        <w:numPr>
          <w:ilvl w:val="0"/>
          <w:numId w:val="6"/>
        </w:numPr>
        <w:rPr>
          <w:sz w:val="24"/>
          <w:szCs w:val="32"/>
        </w:rPr>
      </w:pPr>
      <w:r>
        <w:rPr>
          <w:sz w:val="24"/>
          <w:szCs w:val="32"/>
        </w:rPr>
        <w:t>G</w:t>
      </w:r>
      <w:r w:rsidR="00957938">
        <w:rPr>
          <w:sz w:val="24"/>
          <w:szCs w:val="32"/>
        </w:rPr>
        <w:t>as cylinders should be disposed of through the hazardous waste program, or returned to the manufacturer for refill if possible. Include instructions in your procedure for how to send cylinders back to the manufacturer, or how to dispose of them otherwise.</w:t>
      </w:r>
    </w:p>
    <w:p w14:paraId="1A35E124" w14:textId="3770D41E" w:rsidR="00D2790C" w:rsidRDefault="00494388" w:rsidP="00A63602">
      <w:pPr>
        <w:pStyle w:val="ListParagraph"/>
        <w:numPr>
          <w:ilvl w:val="0"/>
          <w:numId w:val="6"/>
        </w:numPr>
        <w:rPr>
          <w:sz w:val="24"/>
          <w:szCs w:val="32"/>
        </w:rPr>
      </w:pPr>
      <w:r>
        <w:rPr>
          <w:sz w:val="24"/>
          <w:szCs w:val="32"/>
        </w:rPr>
        <w:t>Gas cylinders do not necessarily have to be empty for disposal. Contact your Research Safety Professional for more information or guidance.</w:t>
      </w:r>
    </w:p>
    <w:p w14:paraId="51292FF5" w14:textId="41B7886E" w:rsidR="006479D1" w:rsidRPr="00D80621" w:rsidRDefault="004F1B77" w:rsidP="00D2790C">
      <w:pPr>
        <w:pStyle w:val="ListParagraph"/>
        <w:numPr>
          <w:ilvl w:val="0"/>
          <w:numId w:val="6"/>
        </w:numPr>
        <w:rPr>
          <w:sz w:val="24"/>
          <w:szCs w:val="24"/>
        </w:rPr>
      </w:pPr>
      <w:hyperlink r:id="rId8" w:history="1">
        <w:r w:rsidR="001966C0">
          <w:rPr>
            <w:rStyle w:val="Hyperlink"/>
            <w:sz w:val="24"/>
            <w:szCs w:val="24"/>
          </w:rPr>
          <w:t>General Guidance</w:t>
        </w:r>
        <w:r w:rsidR="001966C0" w:rsidRPr="001966C0">
          <w:rPr>
            <w:rStyle w:val="Hyperlink"/>
            <w:sz w:val="24"/>
            <w:szCs w:val="24"/>
          </w:rPr>
          <w:t xml:space="preserve"> to Hazardous Waste Pickup</w:t>
        </w:r>
      </w:hyperlink>
    </w:p>
    <w:p w14:paraId="717C07BF" w14:textId="26BCA8B0" w:rsidR="00E92DB8" w:rsidRPr="006479D1" w:rsidRDefault="00A63602" w:rsidP="002E0279">
      <w:pPr>
        <w:rPr>
          <w:sz w:val="24"/>
          <w:szCs w:val="32"/>
        </w:rPr>
      </w:pPr>
      <w:r>
        <w:rPr>
          <w:sz w:val="24"/>
          <w:szCs w:val="32"/>
        </w:rPr>
        <w:t xml:space="preserve">In </w:t>
      </w:r>
      <w:r w:rsidR="00825AE0" w:rsidRPr="00825AE0">
        <w:rPr>
          <w:sz w:val="24"/>
          <w:szCs w:val="32"/>
        </w:rPr>
        <w:t>the</w:t>
      </w:r>
      <w:r w:rsidR="00825AE0" w:rsidRPr="00825AE0">
        <w:rPr>
          <w:i/>
          <w:sz w:val="24"/>
          <w:szCs w:val="32"/>
        </w:rPr>
        <w:t xml:space="preserve"> </w:t>
      </w:r>
      <w:proofErr w:type="spellStart"/>
      <w:r w:rsidR="00825AE0" w:rsidRPr="00D43A61">
        <w:rPr>
          <w:sz w:val="24"/>
          <w:szCs w:val="32"/>
          <w:highlight w:val="yellow"/>
        </w:rPr>
        <w:t>Knope</w:t>
      </w:r>
      <w:proofErr w:type="spellEnd"/>
      <w:r w:rsidR="00825AE0" w:rsidRPr="00D43A61">
        <w:rPr>
          <w:sz w:val="24"/>
          <w:szCs w:val="32"/>
          <w:highlight w:val="yellow"/>
        </w:rPr>
        <w:t xml:space="preserve"> lab</w:t>
      </w:r>
      <w:r w:rsidRPr="00D43A61">
        <w:rPr>
          <w:sz w:val="24"/>
          <w:szCs w:val="32"/>
        </w:rPr>
        <w:t>,</w:t>
      </w:r>
      <w:r>
        <w:rPr>
          <w:sz w:val="24"/>
          <w:szCs w:val="32"/>
        </w:rPr>
        <w:t xml:space="preserve"> empty gas cylinders are</w:t>
      </w:r>
      <w:r w:rsidR="00E92DB8" w:rsidRPr="006479D1">
        <w:rPr>
          <w:sz w:val="24"/>
          <w:szCs w:val="32"/>
        </w:rPr>
        <w:t xml:space="preserve"> stored: </w:t>
      </w:r>
      <w:r w:rsidR="006479D1" w:rsidRPr="006479D1">
        <w:rPr>
          <w:i/>
          <w:sz w:val="24"/>
          <w:szCs w:val="32"/>
          <w:highlight w:val="yellow"/>
        </w:rPr>
        <w:t>list the location of your hazardous waste storage area(s).</w:t>
      </w:r>
    </w:p>
    <w:sectPr w:rsidR="00E92DB8" w:rsidRPr="006479D1" w:rsidSect="001F151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7A79" w14:textId="77777777" w:rsidR="00202038" w:rsidRDefault="00202038" w:rsidP="001F1515">
      <w:pPr>
        <w:spacing w:after="0" w:line="240" w:lineRule="auto"/>
      </w:pPr>
      <w:r>
        <w:separator/>
      </w:r>
    </w:p>
  </w:endnote>
  <w:endnote w:type="continuationSeparator" w:id="0">
    <w:p w14:paraId="182F44D2" w14:textId="77777777" w:rsidR="00202038" w:rsidRDefault="00202038" w:rsidP="001F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1CB9" w14:textId="36AEE5B7" w:rsidR="004F1B77" w:rsidRDefault="004F1B77">
    <w:pPr>
      <w:pStyle w:val="Footer"/>
    </w:pPr>
    <w:r>
      <w:t>Compressed gas SOP template 2019 11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7D06" w14:textId="77777777" w:rsidR="00202038" w:rsidRDefault="00202038" w:rsidP="001F1515">
      <w:pPr>
        <w:spacing w:after="0" w:line="240" w:lineRule="auto"/>
      </w:pPr>
      <w:r>
        <w:separator/>
      </w:r>
    </w:p>
  </w:footnote>
  <w:footnote w:type="continuationSeparator" w:id="0">
    <w:p w14:paraId="6D2844B6" w14:textId="77777777" w:rsidR="00202038" w:rsidRDefault="00202038" w:rsidP="001F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A06D" w14:textId="64C109F6" w:rsidR="001F1515" w:rsidRDefault="001F1515">
    <w:pPr>
      <w:pStyle w:val="Header"/>
    </w:pPr>
    <w:r w:rsidRPr="001F1515">
      <w:rPr>
        <w:noProof/>
      </w:rPr>
      <w:drawing>
        <wp:anchor distT="0" distB="0" distL="114300" distR="114300" simplePos="0" relativeHeight="251772416" behindDoc="0" locked="0" layoutInCell="1" allowOverlap="1" wp14:anchorId="54F8B4E7" wp14:editId="36161A68">
          <wp:simplePos x="0" y="0"/>
          <wp:positionH relativeFrom="column">
            <wp:posOffset>5464810</wp:posOffset>
          </wp:positionH>
          <wp:positionV relativeFrom="paragraph">
            <wp:posOffset>-220345</wp:posOffset>
          </wp:positionV>
          <wp:extent cx="930910" cy="501650"/>
          <wp:effectExtent l="0" t="0" r="0" b="0"/>
          <wp:wrapNone/>
          <wp:docPr id="6" name="Picture 3" descr="M2o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M2out-RGB"/>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501650"/>
                  </a:xfrm>
                  <a:prstGeom prst="rect">
                    <a:avLst/>
                  </a:prstGeom>
                  <a:noFill/>
                  <a:ln>
                    <a:noFill/>
                  </a:ln>
                  <a:extLst/>
                </pic:spPr>
              </pic:pic>
            </a:graphicData>
          </a:graphic>
        </wp:anchor>
      </w:drawing>
    </w:r>
    <w:r w:rsidRPr="001F1515">
      <w:rPr>
        <w:noProof/>
      </w:rPr>
      <mc:AlternateContent>
        <mc:Choice Requires="wps">
          <w:drawing>
            <wp:anchor distT="0" distB="0" distL="114300" distR="114300" simplePos="0" relativeHeight="251695616" behindDoc="0" locked="0" layoutInCell="1" allowOverlap="1" wp14:anchorId="275D5C9D" wp14:editId="5B99CB38">
              <wp:simplePos x="0" y="0"/>
              <wp:positionH relativeFrom="column">
                <wp:posOffset>-422275</wp:posOffset>
              </wp:positionH>
              <wp:positionV relativeFrom="paragraph">
                <wp:posOffset>-146685</wp:posOffset>
              </wp:positionV>
              <wp:extent cx="2926715" cy="356235"/>
              <wp:effectExtent l="0" t="0" r="0" b="0"/>
              <wp:wrapNone/>
              <wp:docPr id="5" name="TextBox 4"/>
              <wp:cNvGraphicFramePr/>
              <a:graphic xmlns:a="http://schemas.openxmlformats.org/drawingml/2006/main">
                <a:graphicData uri="http://schemas.microsoft.com/office/word/2010/wordprocessingShape">
                  <wps:wsp>
                    <wps:cNvSpPr txBox="1"/>
                    <wps:spPr>
                      <a:xfrm>
                        <a:off x="0" y="0"/>
                        <a:ext cx="2926715" cy="356235"/>
                      </a:xfrm>
                      <a:prstGeom prst="rect">
                        <a:avLst/>
                      </a:prstGeom>
                      <a:noFill/>
                    </wps:spPr>
                    <wps:txbx>
                      <w:txbxContent>
                        <w:p w14:paraId="141C0497" w14:textId="77777777" w:rsidR="001F1515" w:rsidRDefault="001F1515" w:rsidP="001F1515">
                          <w:pPr>
                            <w:spacing w:after="0"/>
                          </w:pPr>
                          <w:r>
                            <w:rPr>
                              <w:rFonts w:ascii="Gill Sans MT" w:eastAsia="Malgun Gothic" w:hAnsi="Gill Sans MT" w:cs="Lucida Sans Unicode"/>
                              <w:color w:val="7A0019"/>
                              <w:kern w:val="24"/>
                              <w:sz w:val="36"/>
                              <w:szCs w:val="36"/>
                            </w:rPr>
                            <w:t>University Health and Safety</w:t>
                          </w:r>
                        </w:p>
                      </w:txbxContent>
                    </wps:txbx>
                    <wps:bodyPr wrap="square" rtlCol="0">
                      <a:noAutofit/>
                    </wps:bodyPr>
                  </wps:wsp>
                </a:graphicData>
              </a:graphic>
            </wp:anchor>
          </w:drawing>
        </mc:Choice>
        <mc:Fallback>
          <w:pict>
            <v:shapetype w14:anchorId="275D5C9D" id="_x0000_t202" coordsize="21600,21600" o:spt="202" path="m,l,21600r21600,l21600,xe">
              <v:stroke joinstyle="miter"/>
              <v:path gradientshapeok="t" o:connecttype="rect"/>
            </v:shapetype>
            <v:shape id="TextBox 4" o:spid="_x0000_s1026" type="#_x0000_t202" style="position:absolute;margin-left:-33.25pt;margin-top:-11.55pt;width:230.45pt;height:28.0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" filled="f" stroked="f">
              <v:textbox>
                <w:txbxContent>
                  <w:p w14:paraId="141C0497" w14:textId="77777777" w:rsidR="001F1515" w:rsidRDefault="001F1515" w:rsidP="001F1515">
                    <w:pPr>
                      <w:pStyle w:val="BalloonTextChar"/>
                      <w:spacing w:after="0"/>
                    </w:pPr>
                    <w:r>
                      <w:rPr>
                        <w:rFonts w:ascii="Gill Sans MT" w:eastAsia="Malgun Gothic" w:hAnsi="Gill Sans MT" w:cs="Lucida Sans Unicode"/>
                        <w:color w:val="7A0019"/>
                        <w:kern w:val="24"/>
                        <w:sz w:val="36"/>
                        <w:szCs w:val="36"/>
                      </w:rPr>
                      <w:t>University Health and Safety</w:t>
                    </w:r>
                  </w:p>
                </w:txbxContent>
              </v:textbox>
            </v:shape>
          </w:pict>
        </mc:Fallback>
      </mc:AlternateContent>
    </w:r>
    <w:r w:rsidRPr="001F1515">
      <w:rPr>
        <w:noProof/>
      </w:rPr>
      <mc:AlternateContent>
        <mc:Choice Requires="wps">
          <w:drawing>
            <wp:anchor distT="0" distB="0" distL="114300" distR="114300" simplePos="0" relativeHeight="251618816" behindDoc="0" locked="0" layoutInCell="1" allowOverlap="1" wp14:anchorId="57ECAFDD" wp14:editId="08A838B2">
              <wp:simplePos x="0" y="0"/>
              <wp:positionH relativeFrom="column">
                <wp:posOffset>-438150</wp:posOffset>
              </wp:positionH>
              <wp:positionV relativeFrom="paragraph">
                <wp:posOffset>-266700</wp:posOffset>
              </wp:positionV>
              <wp:extent cx="6962775" cy="585470"/>
              <wp:effectExtent l="0" t="0" r="0" b="0"/>
              <wp:wrapNone/>
              <wp:docPr id="4" name="Rectangle 3"/>
              <wp:cNvGraphicFramePr/>
              <a:graphic xmlns:a="http://schemas.openxmlformats.org/drawingml/2006/main">
                <a:graphicData uri="http://schemas.microsoft.com/office/word/2010/wordprocessingShape">
                  <wps:wsp>
                    <wps:cNvSpPr/>
                    <wps:spPr>
                      <a:xfrm>
                        <a:off x="0" y="0"/>
                        <a:ext cx="6962775" cy="585470"/>
                      </a:xfrm>
                      <a:prstGeom prst="rect">
                        <a:avLst/>
                      </a:prstGeom>
                      <a:solidFill>
                        <a:srgbClr val="FFCC33"/>
                      </a:solidFill>
                      <a:ln w="25400" cap="flat" cmpd="sng" algn="ctr">
                        <a:noFill/>
                        <a:prstDash val="solid"/>
                      </a:ln>
                      <a:effectLst/>
                    </wps:spPr>
                    <wps:bodyPr rtlCol="0" anchor="ctr"/>
                  </wps:wsp>
                </a:graphicData>
              </a:graphic>
            </wp:anchor>
          </w:drawing>
        </mc:Choice>
        <mc:Fallback>
          <w:pict>
            <v:rect w14:anchorId="3671325E" id="Rectangle 3" o:spid="_x0000_s1026" style="position:absolute;margin-left:-34.5pt;margin-top:-21pt;width:548.25pt;height:46.1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" fillcolor="#fc3"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BA"/>
    <w:multiLevelType w:val="hybridMultilevel"/>
    <w:tmpl w:val="777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05BC"/>
    <w:multiLevelType w:val="hybridMultilevel"/>
    <w:tmpl w:val="AAA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518A"/>
    <w:multiLevelType w:val="hybridMultilevel"/>
    <w:tmpl w:val="23C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1710"/>
    <w:multiLevelType w:val="hybridMultilevel"/>
    <w:tmpl w:val="FB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221"/>
    <w:multiLevelType w:val="hybridMultilevel"/>
    <w:tmpl w:val="7C2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783E"/>
    <w:multiLevelType w:val="hybridMultilevel"/>
    <w:tmpl w:val="74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2A75"/>
    <w:multiLevelType w:val="hybridMultilevel"/>
    <w:tmpl w:val="CDD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9"/>
    <w:rsid w:val="00017E99"/>
    <w:rsid w:val="000D5FF3"/>
    <w:rsid w:val="001412C5"/>
    <w:rsid w:val="0018777E"/>
    <w:rsid w:val="00196533"/>
    <w:rsid w:val="001966C0"/>
    <w:rsid w:val="001D0C0A"/>
    <w:rsid w:val="001D2C84"/>
    <w:rsid w:val="001E7383"/>
    <w:rsid w:val="001F1515"/>
    <w:rsid w:val="00202038"/>
    <w:rsid w:val="002033D2"/>
    <w:rsid w:val="00246A4B"/>
    <w:rsid w:val="00252EDC"/>
    <w:rsid w:val="00293378"/>
    <w:rsid w:val="002A3B25"/>
    <w:rsid w:val="002E0279"/>
    <w:rsid w:val="002E4BD1"/>
    <w:rsid w:val="003F2D91"/>
    <w:rsid w:val="00450965"/>
    <w:rsid w:val="00494388"/>
    <w:rsid w:val="0049623D"/>
    <w:rsid w:val="004B353F"/>
    <w:rsid w:val="004D1643"/>
    <w:rsid w:val="004F1B77"/>
    <w:rsid w:val="00512E8A"/>
    <w:rsid w:val="00567CF2"/>
    <w:rsid w:val="005C5E15"/>
    <w:rsid w:val="00611334"/>
    <w:rsid w:val="006479D1"/>
    <w:rsid w:val="006802FD"/>
    <w:rsid w:val="007254F5"/>
    <w:rsid w:val="007653BB"/>
    <w:rsid w:val="007F18A2"/>
    <w:rsid w:val="00825AE0"/>
    <w:rsid w:val="00831008"/>
    <w:rsid w:val="00841159"/>
    <w:rsid w:val="00867E3B"/>
    <w:rsid w:val="008E5D08"/>
    <w:rsid w:val="00936C50"/>
    <w:rsid w:val="00957938"/>
    <w:rsid w:val="00966693"/>
    <w:rsid w:val="00970B72"/>
    <w:rsid w:val="009E098C"/>
    <w:rsid w:val="00A14147"/>
    <w:rsid w:val="00A63602"/>
    <w:rsid w:val="00A74595"/>
    <w:rsid w:val="00AA5F92"/>
    <w:rsid w:val="00AC3011"/>
    <w:rsid w:val="00B03D87"/>
    <w:rsid w:val="00C73455"/>
    <w:rsid w:val="00C977D9"/>
    <w:rsid w:val="00CA35D8"/>
    <w:rsid w:val="00CA45AF"/>
    <w:rsid w:val="00D16EC8"/>
    <w:rsid w:val="00D2790C"/>
    <w:rsid w:val="00D43A61"/>
    <w:rsid w:val="00D80621"/>
    <w:rsid w:val="00D959A6"/>
    <w:rsid w:val="00E11DB9"/>
    <w:rsid w:val="00E12ADA"/>
    <w:rsid w:val="00E31B62"/>
    <w:rsid w:val="00E67BF9"/>
    <w:rsid w:val="00E84DF6"/>
    <w:rsid w:val="00E92DB8"/>
    <w:rsid w:val="00EA148D"/>
    <w:rsid w:val="00ED7DED"/>
    <w:rsid w:val="00EE1AE4"/>
    <w:rsid w:val="00F043C1"/>
    <w:rsid w:val="00F67A3D"/>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442A"/>
  <w15:docId w15:val="{86A83EC7-A958-4B33-A959-3F637A64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EDC"/>
    <w:rPr>
      <w:sz w:val="16"/>
      <w:szCs w:val="16"/>
    </w:rPr>
  </w:style>
  <w:style w:type="paragraph" w:styleId="CommentText">
    <w:name w:val="annotation text"/>
    <w:basedOn w:val="Normal"/>
    <w:link w:val="CommentTextChar"/>
    <w:uiPriority w:val="99"/>
    <w:semiHidden/>
    <w:unhideWhenUsed/>
    <w:rsid w:val="00252EDC"/>
    <w:pPr>
      <w:spacing w:line="240" w:lineRule="auto"/>
    </w:pPr>
    <w:rPr>
      <w:sz w:val="20"/>
      <w:szCs w:val="20"/>
    </w:rPr>
  </w:style>
  <w:style w:type="character" w:customStyle="1" w:styleId="CommentTextChar">
    <w:name w:val="Comment Text Char"/>
    <w:basedOn w:val="DefaultParagraphFont"/>
    <w:link w:val="CommentText"/>
    <w:uiPriority w:val="99"/>
    <w:semiHidden/>
    <w:rsid w:val="00252EDC"/>
    <w:rPr>
      <w:sz w:val="20"/>
      <w:szCs w:val="20"/>
    </w:rPr>
  </w:style>
  <w:style w:type="paragraph" w:styleId="CommentSubject">
    <w:name w:val="annotation subject"/>
    <w:basedOn w:val="CommentText"/>
    <w:next w:val="CommentText"/>
    <w:link w:val="CommentSubjectChar"/>
    <w:uiPriority w:val="99"/>
    <w:semiHidden/>
    <w:unhideWhenUsed/>
    <w:rsid w:val="00252EDC"/>
    <w:rPr>
      <w:b/>
      <w:bCs/>
    </w:rPr>
  </w:style>
  <w:style w:type="character" w:customStyle="1" w:styleId="CommentSubjectChar">
    <w:name w:val="Comment Subject Char"/>
    <w:basedOn w:val="CommentTextChar"/>
    <w:link w:val="CommentSubject"/>
    <w:uiPriority w:val="99"/>
    <w:semiHidden/>
    <w:rsid w:val="00252EDC"/>
    <w:rPr>
      <w:b/>
      <w:bCs/>
      <w:sz w:val="20"/>
      <w:szCs w:val="20"/>
    </w:rPr>
  </w:style>
  <w:style w:type="paragraph" w:styleId="BalloonText">
    <w:name w:val="Balloon Text"/>
    <w:basedOn w:val="Normal"/>
    <w:link w:val="BalloonTextChar"/>
    <w:uiPriority w:val="99"/>
    <w:semiHidden/>
    <w:unhideWhenUsed/>
    <w:rsid w:val="0025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DC"/>
    <w:rPr>
      <w:rFonts w:ascii="Segoe UI" w:hAnsi="Segoe UI" w:cs="Segoe UI"/>
      <w:sz w:val="18"/>
      <w:szCs w:val="18"/>
    </w:rPr>
  </w:style>
  <w:style w:type="paragraph" w:styleId="ListParagraph">
    <w:name w:val="List Paragraph"/>
    <w:basedOn w:val="Normal"/>
    <w:uiPriority w:val="34"/>
    <w:qFormat/>
    <w:rsid w:val="00252EDC"/>
    <w:pPr>
      <w:ind w:left="720"/>
      <w:contextualSpacing/>
    </w:pPr>
  </w:style>
  <w:style w:type="character" w:styleId="Hyperlink">
    <w:name w:val="Hyperlink"/>
    <w:basedOn w:val="DefaultParagraphFont"/>
    <w:uiPriority w:val="99"/>
    <w:unhideWhenUsed/>
    <w:rsid w:val="00D2790C"/>
    <w:rPr>
      <w:color w:val="0563C1" w:themeColor="hyperlink"/>
      <w:u w:val="single"/>
    </w:rPr>
  </w:style>
  <w:style w:type="paragraph" w:styleId="Header">
    <w:name w:val="header"/>
    <w:basedOn w:val="Normal"/>
    <w:link w:val="HeaderChar"/>
    <w:uiPriority w:val="99"/>
    <w:unhideWhenUsed/>
    <w:rsid w:val="001F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15"/>
  </w:style>
  <w:style w:type="paragraph" w:styleId="Footer">
    <w:name w:val="footer"/>
    <w:basedOn w:val="Normal"/>
    <w:link w:val="FooterChar"/>
    <w:uiPriority w:val="99"/>
    <w:unhideWhenUsed/>
    <w:rsid w:val="001F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15"/>
  </w:style>
  <w:style w:type="character" w:styleId="FollowedHyperlink">
    <w:name w:val="FollowedHyperlink"/>
    <w:basedOn w:val="DefaultParagraphFont"/>
    <w:uiPriority w:val="99"/>
    <w:semiHidden/>
    <w:unhideWhenUsed/>
    <w:rsid w:val="00196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s.umn.edu/hazardous-waste-disposal-procedu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Greenberg</dc:creator>
  <cp:lastModifiedBy>Joseph W Klancher</cp:lastModifiedBy>
  <cp:revision>8</cp:revision>
  <cp:lastPrinted>2017-01-31T15:19:00Z</cp:lastPrinted>
  <dcterms:created xsi:type="dcterms:W3CDTF">2019-06-24T18:12:00Z</dcterms:created>
  <dcterms:modified xsi:type="dcterms:W3CDTF">2019-11-21T22:43:00Z</dcterms:modified>
</cp:coreProperties>
</file>