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5374F" w14:textId="50C0E2D8" w:rsidR="008E781E" w:rsidRDefault="008E781E" w:rsidP="008E781E">
      <w:pPr>
        <w:jc w:val="center"/>
        <w:rPr>
          <w:b/>
          <w:sz w:val="28"/>
        </w:rPr>
      </w:pPr>
      <w:r w:rsidRPr="0049623D">
        <w:rPr>
          <w:b/>
          <w:sz w:val="32"/>
          <w:szCs w:val="32"/>
        </w:rPr>
        <w:t>Lab-Specific Standard Operating Procedure</w:t>
      </w:r>
      <w:r>
        <w:rPr>
          <w:b/>
          <w:sz w:val="32"/>
          <w:szCs w:val="32"/>
        </w:rPr>
        <w:t>s for Ge</w:t>
      </w:r>
      <w:r w:rsidR="00A0306A">
        <w:rPr>
          <w:b/>
          <w:sz w:val="32"/>
          <w:szCs w:val="32"/>
        </w:rPr>
        <w:t>neral Hazard Classes: Flammable Liquids &amp; Solids</w:t>
      </w:r>
    </w:p>
    <w:p w14:paraId="4EB7B38E" w14:textId="1086CD8A" w:rsidR="008E781E" w:rsidRPr="00EA438C" w:rsidRDefault="009617BE" w:rsidP="008E781E">
      <w:pPr>
        <w:rPr>
          <w:b/>
          <w:sz w:val="28"/>
        </w:rPr>
      </w:pPr>
      <w:r>
        <w:rPr>
          <w:b/>
          <w:sz w:val="28"/>
        </w:rPr>
        <w:t xml:space="preserve">Introduction </w:t>
      </w:r>
    </w:p>
    <w:p w14:paraId="787030F7" w14:textId="1E87F2E3" w:rsidR="008E781E" w:rsidRPr="00F60929" w:rsidRDefault="008E781E" w:rsidP="008E781E">
      <w:pPr>
        <w:rPr>
          <w:sz w:val="24"/>
          <w:szCs w:val="24"/>
        </w:rPr>
      </w:pPr>
      <w:r w:rsidRPr="00F60929">
        <w:rPr>
          <w:sz w:val="24"/>
          <w:szCs w:val="24"/>
        </w:rPr>
        <w:t xml:space="preserve">The hazard class Standard Operating Procedures (SOPs) provided by the Department of Environmental Health and Safety (DEHS) are </w:t>
      </w:r>
      <w:r w:rsidR="009617BE">
        <w:rPr>
          <w:sz w:val="24"/>
          <w:szCs w:val="24"/>
        </w:rPr>
        <w:t>i</w:t>
      </w:r>
      <w:r w:rsidRPr="00F60929">
        <w:rPr>
          <w:sz w:val="24"/>
          <w:szCs w:val="24"/>
        </w:rPr>
        <w:t xml:space="preserve">ntended </w:t>
      </w:r>
      <w:r w:rsidR="00177CBA">
        <w:rPr>
          <w:sz w:val="24"/>
          <w:szCs w:val="24"/>
        </w:rPr>
        <w:t xml:space="preserve">as a voluntary resource </w:t>
      </w:r>
      <w:r w:rsidRPr="00F60929">
        <w:rPr>
          <w:sz w:val="24"/>
          <w:szCs w:val="24"/>
        </w:rPr>
        <w:t>to provide general guidance on how to work with these materials and to provide a template for laboratories to customize to fit their needs.</w:t>
      </w:r>
    </w:p>
    <w:p w14:paraId="046C62BE" w14:textId="38237CE2" w:rsidR="006C1500" w:rsidRDefault="008E781E" w:rsidP="008E781E">
      <w:pPr>
        <w:rPr>
          <w:sz w:val="24"/>
          <w:szCs w:val="24"/>
        </w:rPr>
      </w:pPr>
      <w:r w:rsidRPr="00F60929">
        <w:rPr>
          <w:sz w:val="24"/>
          <w:szCs w:val="24"/>
        </w:rPr>
        <w:t xml:space="preserve">These SOPs </w:t>
      </w:r>
      <w:r w:rsidR="006C1500">
        <w:rPr>
          <w:sz w:val="24"/>
          <w:szCs w:val="24"/>
        </w:rPr>
        <w:t xml:space="preserve">templates </w:t>
      </w:r>
      <w:r w:rsidRPr="00F60929">
        <w:rPr>
          <w:sz w:val="24"/>
          <w:szCs w:val="24"/>
        </w:rPr>
        <w:t xml:space="preserve">should be used for materials with one hazard class </w:t>
      </w:r>
      <w:r w:rsidR="006C1500">
        <w:rPr>
          <w:sz w:val="24"/>
          <w:szCs w:val="24"/>
        </w:rPr>
        <w:t>and</w:t>
      </w:r>
      <w:r w:rsidR="006C1500" w:rsidRPr="00F60929">
        <w:rPr>
          <w:sz w:val="24"/>
          <w:szCs w:val="24"/>
        </w:rPr>
        <w:t xml:space="preserve"> </w:t>
      </w:r>
      <w:r w:rsidRPr="00F60929">
        <w:rPr>
          <w:sz w:val="24"/>
          <w:szCs w:val="24"/>
        </w:rPr>
        <w:t xml:space="preserve">for procedures </w:t>
      </w:r>
      <w:r w:rsidR="006C1500">
        <w:rPr>
          <w:sz w:val="24"/>
          <w:szCs w:val="24"/>
        </w:rPr>
        <w:t>and</w:t>
      </w:r>
      <w:r w:rsidR="006C1500" w:rsidRPr="00F60929">
        <w:rPr>
          <w:sz w:val="24"/>
          <w:szCs w:val="24"/>
        </w:rPr>
        <w:t xml:space="preserve"> </w:t>
      </w:r>
      <w:r w:rsidRPr="00F60929">
        <w:rPr>
          <w:sz w:val="24"/>
          <w:szCs w:val="24"/>
        </w:rPr>
        <w:t>materials requir</w:t>
      </w:r>
      <w:r w:rsidR="006C1500">
        <w:rPr>
          <w:sz w:val="24"/>
          <w:szCs w:val="24"/>
        </w:rPr>
        <w:t xml:space="preserve">ing only basic </w:t>
      </w:r>
      <w:r w:rsidRPr="00F60929">
        <w:rPr>
          <w:sz w:val="24"/>
          <w:szCs w:val="24"/>
        </w:rPr>
        <w:t>PPE</w:t>
      </w:r>
      <w:r w:rsidR="006C1500">
        <w:rPr>
          <w:sz w:val="24"/>
          <w:szCs w:val="24"/>
        </w:rPr>
        <w:t xml:space="preserve"> (i.e., </w:t>
      </w:r>
      <w:r w:rsidR="009617BE">
        <w:rPr>
          <w:sz w:val="24"/>
          <w:szCs w:val="24"/>
        </w:rPr>
        <w:t>lab coats, goggles, and nitrile gloves</w:t>
      </w:r>
      <w:r w:rsidR="006C1500">
        <w:rPr>
          <w:sz w:val="24"/>
          <w:szCs w:val="24"/>
        </w:rPr>
        <w:t>)</w:t>
      </w:r>
      <w:r w:rsidR="009617BE">
        <w:rPr>
          <w:sz w:val="24"/>
          <w:szCs w:val="24"/>
        </w:rPr>
        <w:t xml:space="preserve">. </w:t>
      </w:r>
      <w:r w:rsidRPr="00F60929">
        <w:rPr>
          <w:sz w:val="24"/>
          <w:szCs w:val="24"/>
        </w:rPr>
        <w:t xml:space="preserve"> </w:t>
      </w:r>
    </w:p>
    <w:p w14:paraId="03136088" w14:textId="3CC0FF99" w:rsidR="008E781E" w:rsidRPr="00177CBA" w:rsidRDefault="006C1500" w:rsidP="008E781E">
      <w:pPr>
        <w:rPr>
          <w:sz w:val="24"/>
          <w:szCs w:val="24"/>
        </w:rPr>
      </w:pPr>
      <w:r>
        <w:rPr>
          <w:sz w:val="24"/>
          <w:szCs w:val="24"/>
        </w:rPr>
        <w:t>For more complex procedures and materials with multiple hazards these templates can be used</w:t>
      </w:r>
      <w:r w:rsidR="008E781E" w:rsidRPr="00F60929">
        <w:rPr>
          <w:sz w:val="24"/>
          <w:szCs w:val="24"/>
        </w:rPr>
        <w:t xml:space="preserve"> as guidance </w:t>
      </w:r>
      <w:r>
        <w:rPr>
          <w:sz w:val="24"/>
          <w:szCs w:val="24"/>
        </w:rPr>
        <w:t>when conducting</w:t>
      </w:r>
      <w:r w:rsidR="008E781E" w:rsidRPr="00F60929">
        <w:rPr>
          <w:sz w:val="24"/>
          <w:szCs w:val="24"/>
        </w:rPr>
        <w:t xml:space="preserve"> your lab’s own risk assessment, </w:t>
      </w:r>
      <w:r>
        <w:rPr>
          <w:sz w:val="24"/>
          <w:szCs w:val="24"/>
        </w:rPr>
        <w:t xml:space="preserve">and </w:t>
      </w:r>
      <w:r w:rsidR="00177CBA">
        <w:rPr>
          <w:sz w:val="24"/>
          <w:szCs w:val="24"/>
        </w:rPr>
        <w:t xml:space="preserve">writing </w:t>
      </w:r>
      <w:r>
        <w:rPr>
          <w:sz w:val="24"/>
          <w:szCs w:val="24"/>
        </w:rPr>
        <w:t xml:space="preserve">procedure specific </w:t>
      </w:r>
      <w:r w:rsidRPr="00177CBA">
        <w:rPr>
          <w:sz w:val="24"/>
          <w:szCs w:val="24"/>
        </w:rPr>
        <w:t xml:space="preserve">SOPs.  </w:t>
      </w:r>
    </w:p>
    <w:p w14:paraId="196AEAFE" w14:textId="06C0075A" w:rsidR="008E781E" w:rsidRPr="00F60929" w:rsidRDefault="00177CBA" w:rsidP="00717199">
      <w:pPr>
        <w:spacing w:line="240" w:lineRule="auto"/>
        <w:rPr>
          <w:sz w:val="24"/>
          <w:szCs w:val="24"/>
        </w:rPr>
      </w:pPr>
      <w:r w:rsidRPr="00717199">
        <w:rPr>
          <w:sz w:val="24"/>
          <w:szCs w:val="24"/>
        </w:rPr>
        <w:t xml:space="preserve">If you have any questions about writing Standard Operating Procedures, chemical safety, hazard assessment, or any other research safety questions, </w:t>
      </w:r>
      <w:r w:rsidRPr="00ED23D5">
        <w:rPr>
          <w:sz w:val="24"/>
          <w:szCs w:val="24"/>
        </w:rPr>
        <w:t xml:space="preserve">contact your Departmental Safety Officer (DSO) </w:t>
      </w:r>
      <w:r>
        <w:rPr>
          <w:sz w:val="24"/>
          <w:szCs w:val="24"/>
        </w:rPr>
        <w:t>or call your DEHS Research Safety Professional</w:t>
      </w:r>
      <w:r w:rsidRPr="00717199">
        <w:rPr>
          <w:sz w:val="24"/>
          <w:szCs w:val="24"/>
        </w:rPr>
        <w:t xml:space="preserve"> (612) 626-6002. </w:t>
      </w:r>
    </w:p>
    <w:p w14:paraId="03E929C2" w14:textId="77777777" w:rsidR="008E781E" w:rsidRPr="00EA438C" w:rsidRDefault="008E781E" w:rsidP="008E781E">
      <w:pPr>
        <w:rPr>
          <w:b/>
          <w:sz w:val="28"/>
        </w:rPr>
      </w:pPr>
      <w:r w:rsidRPr="00EA438C">
        <w:rPr>
          <w:b/>
          <w:sz w:val="28"/>
        </w:rPr>
        <w:t>Instructions</w:t>
      </w:r>
    </w:p>
    <w:p w14:paraId="22F3B18C" w14:textId="77777777" w:rsidR="008E781E" w:rsidRPr="00F60929" w:rsidRDefault="008E781E" w:rsidP="008E781E">
      <w:pPr>
        <w:rPr>
          <w:sz w:val="24"/>
          <w:szCs w:val="24"/>
        </w:rPr>
      </w:pPr>
      <w:r w:rsidRPr="00F60929">
        <w:rPr>
          <w:sz w:val="24"/>
          <w:szCs w:val="24"/>
        </w:rPr>
        <w:t xml:space="preserve">All text or spaces in yellow are intended for customization by your laboratory. Fill in the information needed, customized for your lab’s accepted practices, materials used, available resources, etc. Consider which materials your lab uses in the hazard class, and what your lab is experienced with and feels comfortable handling. You can also add any specific information, best practices, or other lab-specific information you would like. </w:t>
      </w:r>
    </w:p>
    <w:p w14:paraId="79EF18EE" w14:textId="00B407BD" w:rsidR="008E781E" w:rsidRPr="00F60929" w:rsidRDefault="008E781E" w:rsidP="008E781E">
      <w:pPr>
        <w:rPr>
          <w:sz w:val="24"/>
          <w:szCs w:val="24"/>
        </w:rPr>
      </w:pPr>
      <w:r w:rsidRPr="00F60929">
        <w:rPr>
          <w:sz w:val="24"/>
          <w:szCs w:val="24"/>
        </w:rPr>
        <w:t xml:space="preserve">If you are unsure if a specific material or procedure requires its own SOP, contact DEHS for guidance. </w:t>
      </w:r>
    </w:p>
    <w:p w14:paraId="649C50D4" w14:textId="50755BA9" w:rsidR="008E781E" w:rsidRDefault="008E781E" w:rsidP="008E781E">
      <w:pPr>
        <w:rPr>
          <w:sz w:val="24"/>
          <w:szCs w:val="24"/>
        </w:rPr>
      </w:pPr>
      <w:r w:rsidRPr="00F60929">
        <w:rPr>
          <w:sz w:val="24"/>
          <w:szCs w:val="24"/>
        </w:rPr>
        <w:t xml:space="preserve">When complete, ensure the SOP is approved by the lab’s PI and added to your lab’s safety </w:t>
      </w:r>
      <w:r w:rsidR="00177CBA">
        <w:rPr>
          <w:sz w:val="24"/>
          <w:szCs w:val="24"/>
        </w:rPr>
        <w:t xml:space="preserve">manual and annual </w:t>
      </w:r>
      <w:r w:rsidRPr="00F60929">
        <w:rPr>
          <w:sz w:val="24"/>
          <w:szCs w:val="24"/>
        </w:rPr>
        <w:t>training. SOPs should be reviewed with all lab members annually, and should be reviewed and updated at a minimum of every 3 years.</w:t>
      </w:r>
    </w:p>
    <w:p w14:paraId="5B4D557B" w14:textId="77777777" w:rsidR="008E781E" w:rsidRDefault="008E781E" w:rsidP="002E0279">
      <w:pPr>
        <w:jc w:val="center"/>
        <w:rPr>
          <w:b/>
          <w:sz w:val="32"/>
          <w:szCs w:val="32"/>
        </w:rPr>
      </w:pPr>
    </w:p>
    <w:p w14:paraId="5467ECE4" w14:textId="77777777" w:rsidR="00177CBA" w:rsidRDefault="00177CBA" w:rsidP="002E0279">
      <w:pPr>
        <w:jc w:val="center"/>
        <w:rPr>
          <w:b/>
          <w:sz w:val="32"/>
          <w:szCs w:val="32"/>
        </w:rPr>
      </w:pPr>
    </w:p>
    <w:p w14:paraId="553BC693" w14:textId="77777777" w:rsidR="00177CBA" w:rsidRDefault="00177CBA" w:rsidP="002E0279">
      <w:pPr>
        <w:jc w:val="center"/>
        <w:rPr>
          <w:b/>
          <w:sz w:val="32"/>
          <w:szCs w:val="32"/>
        </w:rPr>
      </w:pPr>
    </w:p>
    <w:p w14:paraId="509EA2CC" w14:textId="77777777" w:rsidR="00177CBA" w:rsidRDefault="00177CBA" w:rsidP="002E0279">
      <w:pPr>
        <w:jc w:val="center"/>
        <w:rPr>
          <w:b/>
          <w:sz w:val="32"/>
          <w:szCs w:val="32"/>
        </w:rPr>
      </w:pPr>
    </w:p>
    <w:p w14:paraId="2AD444DF" w14:textId="77777777" w:rsidR="00093584" w:rsidRDefault="00093584" w:rsidP="00093584">
      <w:pPr>
        <w:rPr>
          <w:b/>
          <w:sz w:val="32"/>
          <w:szCs w:val="32"/>
        </w:rPr>
      </w:pPr>
      <w:bookmarkStart w:id="0" w:name="_GoBack"/>
      <w:bookmarkEnd w:id="0"/>
    </w:p>
    <w:p w14:paraId="038F9889" w14:textId="5549B46F" w:rsidR="007254F5" w:rsidRPr="0049623D" w:rsidRDefault="001412C5" w:rsidP="00093584">
      <w:pPr>
        <w:jc w:val="center"/>
        <w:rPr>
          <w:b/>
          <w:sz w:val="32"/>
          <w:szCs w:val="32"/>
        </w:rPr>
      </w:pPr>
      <w:r w:rsidRPr="0049623D">
        <w:rPr>
          <w:b/>
          <w:sz w:val="32"/>
          <w:szCs w:val="32"/>
        </w:rPr>
        <w:lastRenderedPageBreak/>
        <w:t xml:space="preserve">Lab-Specific </w:t>
      </w:r>
      <w:r w:rsidR="002E0279" w:rsidRPr="0049623D">
        <w:rPr>
          <w:b/>
          <w:sz w:val="32"/>
          <w:szCs w:val="32"/>
        </w:rPr>
        <w:t>Standard Operating Procedure</w:t>
      </w:r>
    </w:p>
    <w:p w14:paraId="36DB7F29" w14:textId="5E88A060" w:rsidR="002E0279" w:rsidRPr="0049623D" w:rsidRDefault="002E0279" w:rsidP="002E0279">
      <w:pPr>
        <w:spacing w:after="360"/>
        <w:jc w:val="center"/>
        <w:rPr>
          <w:b/>
          <w:sz w:val="32"/>
          <w:szCs w:val="32"/>
        </w:rPr>
      </w:pPr>
      <w:r w:rsidRPr="0049623D">
        <w:rPr>
          <w:b/>
          <w:sz w:val="32"/>
          <w:szCs w:val="32"/>
        </w:rPr>
        <w:t xml:space="preserve">Safe Use and Handling of </w:t>
      </w:r>
      <w:r w:rsidR="0049623D" w:rsidRPr="0049623D">
        <w:rPr>
          <w:b/>
          <w:sz w:val="32"/>
          <w:szCs w:val="32"/>
        </w:rPr>
        <w:t>Flammable</w:t>
      </w:r>
      <w:r w:rsidR="00A15AB8">
        <w:rPr>
          <w:b/>
          <w:sz w:val="32"/>
          <w:szCs w:val="32"/>
        </w:rPr>
        <w:t xml:space="preserve"> Liquids</w:t>
      </w:r>
      <w:r w:rsidR="0049623D" w:rsidRPr="0049623D">
        <w:rPr>
          <w:b/>
          <w:sz w:val="32"/>
          <w:szCs w:val="32"/>
        </w:rPr>
        <w:t xml:space="preserve"> </w:t>
      </w:r>
      <w:r w:rsidR="00717199">
        <w:rPr>
          <w:b/>
          <w:sz w:val="32"/>
          <w:szCs w:val="32"/>
        </w:rPr>
        <w:t>&amp; Solids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255"/>
        <w:gridCol w:w="1980"/>
        <w:gridCol w:w="2690"/>
      </w:tblGrid>
      <w:tr w:rsidR="002E0279" w:rsidRPr="0049623D" w14:paraId="1A7D7875" w14:textId="77777777" w:rsidTr="002E0279">
        <w:trPr>
          <w:jc w:val="center"/>
        </w:trPr>
        <w:tc>
          <w:tcPr>
            <w:tcW w:w="1705" w:type="dxa"/>
          </w:tcPr>
          <w:p w14:paraId="1DAA1500"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PI:</w:t>
            </w:r>
          </w:p>
        </w:tc>
        <w:tc>
          <w:tcPr>
            <w:tcW w:w="2255" w:type="dxa"/>
            <w:tcBorders>
              <w:bottom w:val="single" w:sz="4" w:space="0" w:color="auto"/>
            </w:tcBorders>
          </w:tcPr>
          <w:p w14:paraId="20F450F5" w14:textId="6755A410" w:rsidR="002E0279" w:rsidRPr="0049623D" w:rsidRDefault="006169CD" w:rsidP="006169CD">
            <w:pPr>
              <w:rPr>
                <w:rFonts w:asciiTheme="minorHAnsi" w:hAnsiTheme="minorHAnsi"/>
                <w:i/>
                <w:sz w:val="28"/>
                <w:szCs w:val="28"/>
                <w:highlight w:val="yellow"/>
              </w:rPr>
            </w:pPr>
            <w:r>
              <w:rPr>
                <w:rFonts w:asciiTheme="minorHAnsi" w:hAnsiTheme="minorHAnsi"/>
                <w:i/>
                <w:sz w:val="28"/>
                <w:szCs w:val="28"/>
                <w:highlight w:val="yellow"/>
              </w:rPr>
              <w:t>Cooper</w:t>
            </w:r>
            <w:r w:rsidR="002E0279" w:rsidRPr="0049623D">
              <w:rPr>
                <w:rFonts w:asciiTheme="minorHAnsi" w:hAnsiTheme="minorHAnsi"/>
                <w:i/>
                <w:sz w:val="28"/>
                <w:szCs w:val="28"/>
                <w:highlight w:val="yellow"/>
              </w:rPr>
              <w:t xml:space="preserve">, </w:t>
            </w:r>
            <w:r>
              <w:rPr>
                <w:rFonts w:asciiTheme="minorHAnsi" w:hAnsiTheme="minorHAnsi"/>
                <w:i/>
                <w:sz w:val="28"/>
                <w:szCs w:val="28"/>
                <w:highlight w:val="yellow"/>
              </w:rPr>
              <w:t>S</w:t>
            </w:r>
            <w:r w:rsidR="002E0279" w:rsidRPr="0049623D">
              <w:rPr>
                <w:rFonts w:asciiTheme="minorHAnsi" w:hAnsiTheme="minorHAnsi"/>
                <w:i/>
                <w:sz w:val="28"/>
                <w:szCs w:val="28"/>
                <w:highlight w:val="yellow"/>
              </w:rPr>
              <w:t>.</w:t>
            </w:r>
          </w:p>
        </w:tc>
        <w:tc>
          <w:tcPr>
            <w:tcW w:w="1980" w:type="dxa"/>
          </w:tcPr>
          <w:p w14:paraId="57D28412"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Lab Location:</w:t>
            </w:r>
          </w:p>
        </w:tc>
        <w:tc>
          <w:tcPr>
            <w:tcW w:w="2690" w:type="dxa"/>
            <w:tcBorders>
              <w:bottom w:val="single" w:sz="4" w:space="0" w:color="auto"/>
            </w:tcBorders>
          </w:tcPr>
          <w:p w14:paraId="422181CD" w14:textId="0285783A" w:rsidR="002E0279" w:rsidRPr="0049623D" w:rsidRDefault="002C6D92" w:rsidP="002C6D92">
            <w:pPr>
              <w:jc w:val="both"/>
              <w:rPr>
                <w:rFonts w:asciiTheme="minorHAnsi" w:hAnsiTheme="minorHAnsi"/>
                <w:i/>
                <w:sz w:val="28"/>
                <w:szCs w:val="28"/>
                <w:highlight w:val="yellow"/>
              </w:rPr>
            </w:pPr>
            <w:r>
              <w:rPr>
                <w:rFonts w:asciiTheme="minorHAnsi" w:hAnsiTheme="minorHAnsi"/>
                <w:i/>
                <w:sz w:val="28"/>
                <w:szCs w:val="28"/>
                <w:highlight w:val="yellow"/>
              </w:rPr>
              <w:t>Loeb 1709</w:t>
            </w:r>
          </w:p>
        </w:tc>
      </w:tr>
      <w:tr w:rsidR="002E0279" w:rsidRPr="0049623D" w14:paraId="7A56A4B9" w14:textId="77777777" w:rsidTr="002E0279">
        <w:trPr>
          <w:jc w:val="center"/>
        </w:trPr>
        <w:tc>
          <w:tcPr>
            <w:tcW w:w="1705" w:type="dxa"/>
          </w:tcPr>
          <w:p w14:paraId="5A82D1F5"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Issue Date:</w:t>
            </w:r>
          </w:p>
        </w:tc>
        <w:tc>
          <w:tcPr>
            <w:tcW w:w="2255" w:type="dxa"/>
            <w:tcBorders>
              <w:top w:val="single" w:sz="4" w:space="0" w:color="auto"/>
              <w:bottom w:val="single" w:sz="4" w:space="0" w:color="auto"/>
            </w:tcBorders>
          </w:tcPr>
          <w:p w14:paraId="67BD7958" w14:textId="77777777" w:rsidR="002E0279" w:rsidRPr="0049623D" w:rsidRDefault="002E0279" w:rsidP="00B054D6">
            <w:pPr>
              <w:rPr>
                <w:rFonts w:asciiTheme="minorHAnsi" w:hAnsiTheme="minorHAnsi"/>
                <w:i/>
                <w:sz w:val="28"/>
                <w:szCs w:val="28"/>
                <w:highlight w:val="yellow"/>
              </w:rPr>
            </w:pPr>
            <w:r w:rsidRPr="0049623D">
              <w:rPr>
                <w:rFonts w:asciiTheme="minorHAnsi" w:hAnsiTheme="minorHAnsi"/>
                <w:i/>
                <w:sz w:val="28"/>
                <w:szCs w:val="28"/>
                <w:highlight w:val="yellow"/>
              </w:rPr>
              <w:t>9/12/2016</w:t>
            </w:r>
          </w:p>
        </w:tc>
        <w:tc>
          <w:tcPr>
            <w:tcW w:w="1980" w:type="dxa"/>
          </w:tcPr>
          <w:p w14:paraId="6AE520E6"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Revision Date:</w:t>
            </w:r>
          </w:p>
        </w:tc>
        <w:tc>
          <w:tcPr>
            <w:tcW w:w="2690" w:type="dxa"/>
            <w:tcBorders>
              <w:top w:val="single" w:sz="4" w:space="0" w:color="auto"/>
              <w:bottom w:val="single" w:sz="4" w:space="0" w:color="auto"/>
            </w:tcBorders>
          </w:tcPr>
          <w:p w14:paraId="732C0206" w14:textId="354EF532" w:rsidR="002E0279" w:rsidRPr="0049623D" w:rsidRDefault="00B02426" w:rsidP="00B054D6">
            <w:pPr>
              <w:jc w:val="both"/>
              <w:rPr>
                <w:rFonts w:asciiTheme="minorHAnsi" w:hAnsiTheme="minorHAnsi"/>
                <w:i/>
                <w:sz w:val="28"/>
                <w:szCs w:val="28"/>
                <w:highlight w:val="yellow"/>
              </w:rPr>
            </w:pPr>
            <w:r>
              <w:rPr>
                <w:rFonts w:asciiTheme="minorHAnsi" w:hAnsiTheme="minorHAnsi"/>
                <w:i/>
                <w:sz w:val="28"/>
                <w:szCs w:val="28"/>
                <w:highlight w:val="yellow"/>
              </w:rPr>
              <w:t>9/12/2019</w:t>
            </w:r>
          </w:p>
        </w:tc>
      </w:tr>
      <w:tr w:rsidR="002E0279" w:rsidRPr="0049623D" w14:paraId="130AB7E1" w14:textId="77777777" w:rsidTr="002E0279">
        <w:trPr>
          <w:jc w:val="center"/>
        </w:trPr>
        <w:tc>
          <w:tcPr>
            <w:tcW w:w="1705" w:type="dxa"/>
          </w:tcPr>
          <w:p w14:paraId="68FA59D8"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Prepared by:</w:t>
            </w:r>
          </w:p>
        </w:tc>
        <w:tc>
          <w:tcPr>
            <w:tcW w:w="2255" w:type="dxa"/>
            <w:tcBorders>
              <w:top w:val="single" w:sz="4" w:space="0" w:color="auto"/>
              <w:bottom w:val="single" w:sz="4" w:space="0" w:color="auto"/>
            </w:tcBorders>
          </w:tcPr>
          <w:p w14:paraId="6755B16C" w14:textId="408BE3D6" w:rsidR="002E0279" w:rsidRPr="0049623D" w:rsidRDefault="006169CD" w:rsidP="006169CD">
            <w:pPr>
              <w:rPr>
                <w:rFonts w:asciiTheme="minorHAnsi" w:hAnsiTheme="minorHAnsi"/>
                <w:i/>
                <w:sz w:val="28"/>
                <w:szCs w:val="28"/>
                <w:highlight w:val="yellow"/>
              </w:rPr>
            </w:pPr>
            <w:r>
              <w:rPr>
                <w:rFonts w:asciiTheme="minorHAnsi" w:hAnsiTheme="minorHAnsi"/>
                <w:i/>
                <w:sz w:val="28"/>
                <w:szCs w:val="28"/>
                <w:highlight w:val="yellow"/>
              </w:rPr>
              <w:t>Hofstadter</w:t>
            </w:r>
            <w:r w:rsidR="002E0279" w:rsidRPr="0049623D">
              <w:rPr>
                <w:rFonts w:asciiTheme="minorHAnsi" w:hAnsiTheme="minorHAnsi"/>
                <w:i/>
                <w:sz w:val="28"/>
                <w:szCs w:val="28"/>
                <w:highlight w:val="yellow"/>
              </w:rPr>
              <w:t>,</w:t>
            </w:r>
            <w:r>
              <w:rPr>
                <w:rFonts w:asciiTheme="minorHAnsi" w:hAnsiTheme="minorHAnsi"/>
                <w:i/>
                <w:sz w:val="28"/>
                <w:szCs w:val="28"/>
                <w:highlight w:val="yellow"/>
              </w:rPr>
              <w:t xml:space="preserve"> L</w:t>
            </w:r>
            <w:r w:rsidR="002E0279" w:rsidRPr="0049623D">
              <w:rPr>
                <w:rFonts w:asciiTheme="minorHAnsi" w:hAnsiTheme="minorHAnsi"/>
                <w:i/>
                <w:sz w:val="28"/>
                <w:szCs w:val="28"/>
                <w:highlight w:val="yellow"/>
              </w:rPr>
              <w:t>.</w:t>
            </w:r>
          </w:p>
        </w:tc>
        <w:tc>
          <w:tcPr>
            <w:tcW w:w="1980" w:type="dxa"/>
          </w:tcPr>
          <w:p w14:paraId="5D846309"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Approved by:</w:t>
            </w:r>
          </w:p>
        </w:tc>
        <w:tc>
          <w:tcPr>
            <w:tcW w:w="2690" w:type="dxa"/>
            <w:tcBorders>
              <w:top w:val="single" w:sz="4" w:space="0" w:color="auto"/>
              <w:bottom w:val="single" w:sz="4" w:space="0" w:color="auto"/>
            </w:tcBorders>
          </w:tcPr>
          <w:p w14:paraId="3AD83234" w14:textId="75ABEC58" w:rsidR="002E0279" w:rsidRPr="0049623D" w:rsidRDefault="006169CD" w:rsidP="00B054D6">
            <w:pPr>
              <w:jc w:val="both"/>
              <w:rPr>
                <w:rFonts w:asciiTheme="minorHAnsi" w:hAnsiTheme="minorHAnsi"/>
                <w:i/>
                <w:sz w:val="28"/>
                <w:szCs w:val="28"/>
                <w:highlight w:val="yellow"/>
              </w:rPr>
            </w:pPr>
            <w:r>
              <w:rPr>
                <w:rFonts w:asciiTheme="minorHAnsi" w:hAnsiTheme="minorHAnsi"/>
                <w:i/>
                <w:sz w:val="28"/>
                <w:szCs w:val="28"/>
                <w:highlight w:val="yellow"/>
              </w:rPr>
              <w:t>Penny</w:t>
            </w:r>
          </w:p>
        </w:tc>
      </w:tr>
    </w:tbl>
    <w:p w14:paraId="1D3CF50D" w14:textId="77777777" w:rsidR="002E0279" w:rsidRPr="0049623D" w:rsidRDefault="002E0279" w:rsidP="002E0279">
      <w:pPr>
        <w:jc w:val="center"/>
        <w:rPr>
          <w:b/>
          <w:sz w:val="32"/>
          <w:szCs w:val="32"/>
        </w:rPr>
      </w:pPr>
    </w:p>
    <w:p w14:paraId="2A72F5AA" w14:textId="3B84539E" w:rsidR="002E0279" w:rsidRPr="0049623D" w:rsidRDefault="00252EDC" w:rsidP="002E0279">
      <w:pPr>
        <w:rPr>
          <w:b/>
          <w:i/>
          <w:sz w:val="28"/>
          <w:szCs w:val="32"/>
        </w:rPr>
      </w:pPr>
      <w:r w:rsidRPr="0049623D">
        <w:rPr>
          <w:noProof/>
          <w:sz w:val="24"/>
          <w:szCs w:val="32"/>
        </w:rPr>
        <w:drawing>
          <wp:anchor distT="0" distB="0" distL="114300" distR="114300" simplePos="0" relativeHeight="251658240" behindDoc="0" locked="0" layoutInCell="1" allowOverlap="1" wp14:anchorId="6EA9393F" wp14:editId="6D060EA2">
            <wp:simplePos x="0" y="0"/>
            <wp:positionH relativeFrom="column">
              <wp:posOffset>5448300</wp:posOffset>
            </wp:positionH>
            <wp:positionV relativeFrom="paragraph">
              <wp:posOffset>224790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ma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2E0279" w:rsidRPr="0049623D">
        <w:rPr>
          <w:b/>
          <w:i/>
          <w:sz w:val="28"/>
          <w:szCs w:val="32"/>
        </w:rPr>
        <w:t>Hazard Identification</w:t>
      </w:r>
    </w:p>
    <w:p w14:paraId="17473967" w14:textId="77777777" w:rsidR="00252EDC" w:rsidRPr="0049623D" w:rsidRDefault="00252EDC" w:rsidP="002E0279">
      <w:pPr>
        <w:rPr>
          <w:sz w:val="24"/>
          <w:szCs w:val="32"/>
        </w:rPr>
      </w:pPr>
      <w:r w:rsidRPr="0049623D">
        <w:rPr>
          <w:sz w:val="24"/>
          <w:szCs w:val="32"/>
        </w:rPr>
        <w:t>Flammable material containers must be labeled at a minimum with the name of the contents and the word “Flammable” or the GHS pictogram for flammable materials, pictured to the right. Information on the specific hazards of specific materials can be found in their SDS.</w:t>
      </w:r>
    </w:p>
    <w:p w14:paraId="2271D234" w14:textId="003A0431" w:rsidR="002E0279" w:rsidRPr="0049623D" w:rsidRDefault="00611334" w:rsidP="002E0279">
      <w:pPr>
        <w:rPr>
          <w:sz w:val="24"/>
          <w:szCs w:val="32"/>
        </w:rPr>
      </w:pPr>
      <w:r w:rsidRPr="0049623D">
        <w:rPr>
          <w:sz w:val="24"/>
          <w:szCs w:val="32"/>
        </w:rPr>
        <w:t>Examples of f</w:t>
      </w:r>
      <w:r w:rsidR="00252EDC" w:rsidRPr="0049623D">
        <w:rPr>
          <w:sz w:val="24"/>
          <w:szCs w:val="32"/>
        </w:rPr>
        <w:t xml:space="preserve">lammables in use in the </w:t>
      </w:r>
      <w:r w:rsidR="00B06264">
        <w:rPr>
          <w:sz w:val="24"/>
          <w:szCs w:val="32"/>
          <w:highlight w:val="yellow"/>
        </w:rPr>
        <w:t>Cooper lab</w:t>
      </w:r>
      <w:r w:rsidR="00252EDC" w:rsidRPr="0049623D">
        <w:rPr>
          <w:sz w:val="24"/>
          <w:szCs w:val="32"/>
        </w:rPr>
        <w:t xml:space="preserve"> include:</w:t>
      </w:r>
    </w:p>
    <w:p w14:paraId="0399C7B2"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1</w:t>
      </w:r>
    </w:p>
    <w:p w14:paraId="3D8EB0FC"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2</w:t>
      </w:r>
    </w:p>
    <w:p w14:paraId="26288BAA"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3</w:t>
      </w:r>
    </w:p>
    <w:p w14:paraId="28D3A3C5" w14:textId="17B07CE6" w:rsidR="002E0279" w:rsidRPr="0049623D" w:rsidRDefault="002E0279" w:rsidP="002E0279">
      <w:pPr>
        <w:rPr>
          <w:b/>
          <w:i/>
          <w:sz w:val="28"/>
          <w:szCs w:val="32"/>
        </w:rPr>
      </w:pPr>
      <w:r w:rsidRPr="0049623D">
        <w:rPr>
          <w:b/>
          <w:i/>
          <w:sz w:val="28"/>
          <w:szCs w:val="32"/>
        </w:rPr>
        <w:t>Risk Assessment</w:t>
      </w:r>
    </w:p>
    <w:p w14:paraId="49C49C26" w14:textId="17E74C43" w:rsidR="00AA5F92" w:rsidRDefault="00AA5F92" w:rsidP="002E0279">
      <w:pPr>
        <w:rPr>
          <w:sz w:val="24"/>
          <w:szCs w:val="32"/>
        </w:rPr>
      </w:pPr>
      <w:r w:rsidRPr="0049623D">
        <w:rPr>
          <w:sz w:val="24"/>
          <w:szCs w:val="32"/>
        </w:rPr>
        <w:t xml:space="preserve">The primary risk of working with flammable materials is the potential for ignition and fires. </w:t>
      </w:r>
    </w:p>
    <w:p w14:paraId="2F704A61" w14:textId="77777777" w:rsidR="008E781E" w:rsidRDefault="008E781E" w:rsidP="008E781E">
      <w:pPr>
        <w:rPr>
          <w:sz w:val="24"/>
          <w:szCs w:val="32"/>
        </w:rPr>
      </w:pPr>
      <w:r>
        <w:rPr>
          <w:sz w:val="24"/>
          <w:szCs w:val="32"/>
        </w:rPr>
        <w:t>This SOP should not be used for any flammable gases. A specific SOP should be written for any use or handling of these materials, including information from the Gas Cylinder SOP template.</w:t>
      </w:r>
    </w:p>
    <w:p w14:paraId="36248B6B" w14:textId="1C3E1F7E" w:rsidR="009A29FB" w:rsidRDefault="009A29FB" w:rsidP="002E0279">
      <w:pPr>
        <w:rPr>
          <w:sz w:val="24"/>
          <w:szCs w:val="32"/>
        </w:rPr>
      </w:pPr>
      <w:r w:rsidRPr="00B06264">
        <w:rPr>
          <w:sz w:val="24"/>
          <w:szCs w:val="32"/>
        </w:rPr>
        <w:t>Flammables may have additional hazards associated with them, such as toxicity, corrosiveness, or being a peroxide former. Materials with additional hazards are not addressed in this SOP</w:t>
      </w:r>
      <w:r w:rsidR="00717199">
        <w:rPr>
          <w:sz w:val="24"/>
          <w:szCs w:val="32"/>
        </w:rPr>
        <w:t xml:space="preserve"> – instead, a material-specific SOP must be written</w:t>
      </w:r>
      <w:r w:rsidRPr="00B06264">
        <w:rPr>
          <w:sz w:val="24"/>
          <w:szCs w:val="32"/>
        </w:rPr>
        <w:t>.</w:t>
      </w:r>
    </w:p>
    <w:p w14:paraId="1EB8B7CF" w14:textId="330548C3" w:rsidR="008E781E" w:rsidRPr="0049623D" w:rsidRDefault="008E781E" w:rsidP="002E0279">
      <w:pPr>
        <w:rPr>
          <w:sz w:val="24"/>
          <w:szCs w:val="32"/>
        </w:rPr>
      </w:pPr>
      <w:r>
        <w:rPr>
          <w:sz w:val="24"/>
          <w:szCs w:val="32"/>
        </w:rPr>
        <w:t xml:space="preserve">Peroxide-forming materials should be handled with particular care. While they can be included as materials in this fact sheet, refer to the fact sheet at </w:t>
      </w:r>
      <w:hyperlink r:id="rId8" w:history="1">
        <w:r w:rsidRPr="006C3508">
          <w:rPr>
            <w:rStyle w:val="Hyperlink"/>
            <w:sz w:val="24"/>
            <w:szCs w:val="32"/>
          </w:rPr>
          <w:t>www.z.umn.edu/safetyfactsheets</w:t>
        </w:r>
      </w:hyperlink>
      <w:r>
        <w:rPr>
          <w:sz w:val="24"/>
          <w:szCs w:val="32"/>
        </w:rPr>
        <w:t xml:space="preserve"> for more information on proper storage and handling.</w:t>
      </w:r>
    </w:p>
    <w:p w14:paraId="16A728F6" w14:textId="5A6C95A8" w:rsidR="002E0279" w:rsidRPr="00B06264" w:rsidRDefault="002E0279" w:rsidP="002E0279">
      <w:pPr>
        <w:rPr>
          <w:sz w:val="24"/>
          <w:szCs w:val="32"/>
        </w:rPr>
      </w:pPr>
    </w:p>
    <w:tbl>
      <w:tblPr>
        <w:tblStyle w:val="TableGrid"/>
        <w:tblW w:w="9805" w:type="dxa"/>
        <w:tblLook w:val="04A0" w:firstRow="1" w:lastRow="0" w:firstColumn="1" w:lastColumn="0" w:noHBand="0" w:noVBand="1"/>
      </w:tblPr>
      <w:tblGrid>
        <w:gridCol w:w="4135"/>
        <w:gridCol w:w="5670"/>
      </w:tblGrid>
      <w:tr w:rsidR="00611334" w:rsidRPr="0049623D" w14:paraId="0CF3EF52" w14:textId="77777777" w:rsidTr="0049623D">
        <w:tc>
          <w:tcPr>
            <w:tcW w:w="9805" w:type="dxa"/>
            <w:gridSpan w:val="2"/>
            <w:shd w:val="clear" w:color="auto" w:fill="D9D9D9" w:themeFill="background1" w:themeFillShade="D9"/>
          </w:tcPr>
          <w:p w14:paraId="4A475002" w14:textId="04FFAC76" w:rsidR="00611334" w:rsidRPr="0049623D" w:rsidRDefault="007653BB" w:rsidP="00000679">
            <w:pPr>
              <w:jc w:val="center"/>
              <w:rPr>
                <w:rFonts w:asciiTheme="minorHAnsi" w:hAnsiTheme="minorHAnsi"/>
                <w:b/>
                <w:bCs/>
                <w:sz w:val="24"/>
              </w:rPr>
            </w:pPr>
            <w:r w:rsidRPr="0049623D">
              <w:rPr>
                <w:rFonts w:asciiTheme="minorHAnsi" w:hAnsiTheme="minorHAnsi"/>
                <w:b/>
                <w:bCs/>
                <w:sz w:val="24"/>
              </w:rPr>
              <w:t>Lab-Specific Working Limits</w:t>
            </w:r>
          </w:p>
        </w:tc>
      </w:tr>
      <w:tr w:rsidR="00611334" w:rsidRPr="0049623D" w14:paraId="75DC94B0" w14:textId="77777777" w:rsidTr="0049623D">
        <w:trPr>
          <w:trHeight w:val="260"/>
        </w:trPr>
        <w:tc>
          <w:tcPr>
            <w:tcW w:w="4135" w:type="dxa"/>
          </w:tcPr>
          <w:p w14:paraId="0530E4E0" w14:textId="71F7E06D" w:rsidR="00611334" w:rsidRPr="0049623D" w:rsidRDefault="00611334" w:rsidP="00000679">
            <w:pPr>
              <w:rPr>
                <w:rFonts w:asciiTheme="minorHAnsi" w:hAnsiTheme="minorHAnsi"/>
                <w:b/>
                <w:sz w:val="24"/>
              </w:rPr>
            </w:pPr>
            <w:r w:rsidRPr="0049623D">
              <w:rPr>
                <w:rFonts w:asciiTheme="minorHAnsi" w:hAnsiTheme="minorHAnsi"/>
                <w:b/>
                <w:sz w:val="24"/>
              </w:rPr>
              <w:t>Maximum Storage Amount</w:t>
            </w:r>
          </w:p>
        </w:tc>
        <w:tc>
          <w:tcPr>
            <w:tcW w:w="5670" w:type="dxa"/>
          </w:tcPr>
          <w:p w14:paraId="3FC90ED0" w14:textId="2BBD262C"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amount of this hazard class that is allowed to be stored in your lab.</w:t>
            </w:r>
          </w:p>
        </w:tc>
      </w:tr>
      <w:tr w:rsidR="00611334" w:rsidRPr="0049623D" w14:paraId="5B99D49E" w14:textId="77777777" w:rsidTr="0049623D">
        <w:tc>
          <w:tcPr>
            <w:tcW w:w="4135" w:type="dxa"/>
          </w:tcPr>
          <w:p w14:paraId="2A410CB0" w14:textId="68796D5C" w:rsidR="00611334" w:rsidRPr="0049623D" w:rsidRDefault="00611334" w:rsidP="00000679">
            <w:pPr>
              <w:rPr>
                <w:rFonts w:asciiTheme="minorHAnsi" w:hAnsiTheme="minorHAnsi"/>
                <w:b/>
                <w:sz w:val="24"/>
              </w:rPr>
            </w:pPr>
            <w:r w:rsidRPr="0049623D">
              <w:rPr>
                <w:rFonts w:asciiTheme="minorHAnsi" w:hAnsiTheme="minorHAnsi"/>
                <w:b/>
                <w:sz w:val="24"/>
              </w:rPr>
              <w:t>Maximum Scale</w:t>
            </w:r>
          </w:p>
        </w:tc>
        <w:tc>
          <w:tcPr>
            <w:tcW w:w="5670" w:type="dxa"/>
          </w:tcPr>
          <w:p w14:paraId="1C909362" w14:textId="126E405A"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amount of a chemical with this hazard class that your lab allows to be used at one time</w:t>
            </w:r>
          </w:p>
        </w:tc>
      </w:tr>
      <w:tr w:rsidR="00611334" w:rsidRPr="0049623D" w14:paraId="74BAA3F0" w14:textId="77777777" w:rsidTr="0049623D">
        <w:tc>
          <w:tcPr>
            <w:tcW w:w="4135" w:type="dxa"/>
          </w:tcPr>
          <w:p w14:paraId="377E9A13" w14:textId="61556CD9" w:rsidR="00611334" w:rsidRPr="0049623D" w:rsidRDefault="00611334" w:rsidP="00000679">
            <w:pPr>
              <w:rPr>
                <w:rFonts w:asciiTheme="minorHAnsi" w:hAnsiTheme="minorHAnsi"/>
                <w:b/>
                <w:sz w:val="24"/>
              </w:rPr>
            </w:pPr>
            <w:r w:rsidRPr="0049623D">
              <w:rPr>
                <w:rFonts w:asciiTheme="minorHAnsi" w:hAnsiTheme="minorHAnsi"/>
                <w:b/>
                <w:sz w:val="24"/>
              </w:rPr>
              <w:t>Maximum Concentration (if applicable)</w:t>
            </w:r>
          </w:p>
        </w:tc>
        <w:tc>
          <w:tcPr>
            <w:tcW w:w="5670" w:type="dxa"/>
          </w:tcPr>
          <w:p w14:paraId="0EE99B3B" w14:textId="2AA7726C"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concentration that your lab allows to be used</w:t>
            </w:r>
          </w:p>
        </w:tc>
      </w:tr>
      <w:tr w:rsidR="00611334" w:rsidRPr="0049623D" w14:paraId="542F9513" w14:textId="77777777" w:rsidTr="0049623D">
        <w:tc>
          <w:tcPr>
            <w:tcW w:w="4135" w:type="dxa"/>
          </w:tcPr>
          <w:p w14:paraId="37301990" w14:textId="495D7365" w:rsidR="00611334" w:rsidRPr="0049623D" w:rsidRDefault="00611334" w:rsidP="00000679">
            <w:pPr>
              <w:rPr>
                <w:rFonts w:asciiTheme="minorHAnsi" w:hAnsiTheme="minorHAnsi"/>
                <w:b/>
                <w:sz w:val="24"/>
              </w:rPr>
            </w:pPr>
            <w:r w:rsidRPr="0049623D">
              <w:rPr>
                <w:rFonts w:asciiTheme="minorHAnsi" w:hAnsiTheme="minorHAnsi"/>
                <w:b/>
                <w:sz w:val="24"/>
              </w:rPr>
              <w:t>Working Temperature Range</w:t>
            </w:r>
          </w:p>
        </w:tc>
        <w:tc>
          <w:tcPr>
            <w:tcW w:w="5670" w:type="dxa"/>
          </w:tcPr>
          <w:p w14:paraId="4B516807" w14:textId="624A329E"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general range of temperatures where your lab allows work with this hazard class. This can be very general, as all chemicals may be slightly different</w:t>
            </w:r>
          </w:p>
        </w:tc>
      </w:tr>
      <w:tr w:rsidR="00611334" w:rsidRPr="0049623D" w14:paraId="6D43CF23" w14:textId="77777777" w:rsidTr="0049623D">
        <w:tc>
          <w:tcPr>
            <w:tcW w:w="4135" w:type="dxa"/>
          </w:tcPr>
          <w:p w14:paraId="4076D9F6" w14:textId="0172C4A7" w:rsidR="00611334" w:rsidRPr="0049623D" w:rsidRDefault="00611334" w:rsidP="00000679">
            <w:pPr>
              <w:rPr>
                <w:rFonts w:asciiTheme="minorHAnsi" w:hAnsiTheme="minorHAnsi"/>
                <w:b/>
                <w:sz w:val="24"/>
              </w:rPr>
            </w:pPr>
            <w:r w:rsidRPr="0049623D">
              <w:rPr>
                <w:rFonts w:asciiTheme="minorHAnsi" w:hAnsiTheme="minorHAnsi"/>
                <w:b/>
                <w:sz w:val="24"/>
              </w:rPr>
              <w:t>Working Pressure Range</w:t>
            </w:r>
          </w:p>
        </w:tc>
        <w:tc>
          <w:tcPr>
            <w:tcW w:w="5670" w:type="dxa"/>
          </w:tcPr>
          <w:p w14:paraId="2A9486F6" w14:textId="5384B38F"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range of pressures where your lab allows work with this hazard class.</w:t>
            </w:r>
          </w:p>
        </w:tc>
      </w:tr>
      <w:tr w:rsidR="00611334" w:rsidRPr="0049623D" w14:paraId="4D2CA531" w14:textId="77777777" w:rsidTr="0049623D">
        <w:tc>
          <w:tcPr>
            <w:tcW w:w="4135" w:type="dxa"/>
          </w:tcPr>
          <w:p w14:paraId="662309BA" w14:textId="47EB83BE" w:rsidR="00611334" w:rsidRPr="0049623D" w:rsidRDefault="00611334" w:rsidP="00000679">
            <w:pPr>
              <w:rPr>
                <w:rFonts w:asciiTheme="minorHAnsi" w:hAnsiTheme="minorHAnsi"/>
                <w:b/>
                <w:sz w:val="24"/>
              </w:rPr>
            </w:pPr>
            <w:r w:rsidRPr="0049623D">
              <w:rPr>
                <w:rFonts w:asciiTheme="minorHAnsi" w:hAnsiTheme="minorHAnsi"/>
                <w:b/>
                <w:sz w:val="24"/>
              </w:rPr>
              <w:t>Allowable Container Types</w:t>
            </w:r>
          </w:p>
        </w:tc>
        <w:tc>
          <w:tcPr>
            <w:tcW w:w="5670" w:type="dxa"/>
          </w:tcPr>
          <w:p w14:paraId="69391021" w14:textId="41E6FF72" w:rsidR="00611334" w:rsidRPr="0049623D" w:rsidRDefault="0049623D" w:rsidP="00A066DD">
            <w:pPr>
              <w:rPr>
                <w:rFonts w:asciiTheme="minorHAnsi" w:hAnsiTheme="minorHAnsi"/>
                <w:bCs/>
                <w:sz w:val="24"/>
              </w:rPr>
            </w:pPr>
            <w:r w:rsidRPr="0049623D">
              <w:rPr>
                <w:rFonts w:asciiTheme="minorHAnsi" w:hAnsiTheme="minorHAnsi"/>
                <w:bCs/>
                <w:sz w:val="24"/>
              </w:rPr>
              <w:t>In general, flammables should</w:t>
            </w:r>
            <w:r w:rsidR="003F2D91">
              <w:rPr>
                <w:rFonts w:asciiTheme="minorHAnsi" w:hAnsiTheme="minorHAnsi"/>
                <w:bCs/>
                <w:sz w:val="24"/>
              </w:rPr>
              <w:t xml:space="preserve"> be kept in their original shipping containers. Otherwise, metal or plastic-coated amber bottles are recommended. </w:t>
            </w:r>
            <w:r w:rsidR="00A066DD">
              <w:rPr>
                <w:rFonts w:asciiTheme="minorHAnsi" w:hAnsiTheme="minorHAnsi"/>
                <w:bCs/>
                <w:sz w:val="24"/>
              </w:rPr>
              <w:t xml:space="preserve">Clear glass makes peroxide formation more likely and is discouraged, unless for short term use. </w:t>
            </w:r>
            <w:r w:rsidR="003F2D91">
              <w:rPr>
                <w:rFonts w:asciiTheme="minorHAnsi" w:hAnsiTheme="minorHAnsi"/>
                <w:bCs/>
                <w:sz w:val="24"/>
              </w:rPr>
              <w:t>Glass containers may not be more than 1 gallon. No container may be larger than 5 gallons (20 L).</w:t>
            </w:r>
            <w:r w:rsidR="00E02EC2">
              <w:rPr>
                <w:rFonts w:asciiTheme="minorHAnsi" w:hAnsiTheme="minorHAnsi"/>
                <w:bCs/>
                <w:sz w:val="24"/>
              </w:rPr>
              <w:t xml:space="preserve"> </w:t>
            </w:r>
            <w:r w:rsidR="00A066DD">
              <w:rPr>
                <w:rFonts w:asciiTheme="minorHAnsi" w:hAnsiTheme="minorHAnsi"/>
                <w:bCs/>
                <w:sz w:val="24"/>
              </w:rPr>
              <w:t>Contact</w:t>
            </w:r>
            <w:r w:rsidR="00E02EC2">
              <w:rPr>
                <w:rFonts w:asciiTheme="minorHAnsi" w:hAnsiTheme="minorHAnsi"/>
                <w:bCs/>
                <w:sz w:val="24"/>
              </w:rPr>
              <w:t xml:space="preserve"> DEHS</w:t>
            </w:r>
            <w:r w:rsidR="00A066DD">
              <w:rPr>
                <w:rFonts w:asciiTheme="minorHAnsi" w:hAnsiTheme="minorHAnsi"/>
                <w:bCs/>
                <w:sz w:val="24"/>
              </w:rPr>
              <w:t xml:space="preserve"> if planning on using</w:t>
            </w:r>
            <w:r w:rsidR="00E02EC2">
              <w:rPr>
                <w:rFonts w:asciiTheme="minorHAnsi" w:hAnsiTheme="minorHAnsi"/>
                <w:bCs/>
                <w:sz w:val="24"/>
              </w:rPr>
              <w:t xml:space="preserve"> reagent containers &gt; 4 L.</w:t>
            </w:r>
          </w:p>
        </w:tc>
      </w:tr>
    </w:tbl>
    <w:p w14:paraId="5C0A55E3" w14:textId="77777777" w:rsidR="00611334" w:rsidRPr="0049623D" w:rsidRDefault="00611334"/>
    <w:tbl>
      <w:tblPr>
        <w:tblStyle w:val="TableGrid"/>
        <w:tblW w:w="9805" w:type="dxa"/>
        <w:tblLook w:val="04A0" w:firstRow="1" w:lastRow="0" w:firstColumn="1" w:lastColumn="0" w:noHBand="0" w:noVBand="1"/>
      </w:tblPr>
      <w:tblGrid>
        <w:gridCol w:w="2605"/>
        <w:gridCol w:w="7200"/>
      </w:tblGrid>
      <w:tr w:rsidR="00611334" w:rsidRPr="0049623D" w14:paraId="2A1E9394" w14:textId="77777777" w:rsidTr="0049623D">
        <w:tc>
          <w:tcPr>
            <w:tcW w:w="9805" w:type="dxa"/>
            <w:gridSpan w:val="2"/>
            <w:shd w:val="clear" w:color="auto" w:fill="D9D9D9" w:themeFill="background1" w:themeFillShade="D9"/>
          </w:tcPr>
          <w:p w14:paraId="157AFBE7" w14:textId="0036AAC9" w:rsidR="00611334" w:rsidRPr="0049623D" w:rsidRDefault="00611334" w:rsidP="00611334">
            <w:pPr>
              <w:jc w:val="center"/>
              <w:rPr>
                <w:rFonts w:asciiTheme="minorHAnsi" w:hAnsiTheme="minorHAnsi"/>
                <w:b/>
                <w:bCs/>
                <w:sz w:val="24"/>
              </w:rPr>
            </w:pPr>
            <w:r w:rsidRPr="0049623D">
              <w:rPr>
                <w:rFonts w:asciiTheme="minorHAnsi" w:hAnsiTheme="minorHAnsi"/>
                <w:b/>
                <w:bCs/>
                <w:sz w:val="24"/>
              </w:rPr>
              <w:t>Transfer and Transportation Limits</w:t>
            </w:r>
          </w:p>
        </w:tc>
      </w:tr>
      <w:tr w:rsidR="00611334" w:rsidRPr="0049623D" w14:paraId="00153053" w14:textId="77777777" w:rsidTr="0049623D">
        <w:tc>
          <w:tcPr>
            <w:tcW w:w="2605" w:type="dxa"/>
          </w:tcPr>
          <w:p w14:paraId="58A3D98E" w14:textId="4C4280CA" w:rsidR="00611334" w:rsidRPr="0049623D" w:rsidRDefault="00611334" w:rsidP="00000679">
            <w:pPr>
              <w:rPr>
                <w:rFonts w:asciiTheme="minorHAnsi" w:hAnsiTheme="minorHAnsi"/>
                <w:b/>
                <w:sz w:val="24"/>
              </w:rPr>
            </w:pPr>
            <w:r w:rsidRPr="0049623D">
              <w:rPr>
                <w:rFonts w:asciiTheme="minorHAnsi" w:hAnsiTheme="minorHAnsi"/>
                <w:b/>
                <w:sz w:val="24"/>
              </w:rPr>
              <w:t>Maximum in hood</w:t>
            </w:r>
          </w:p>
        </w:tc>
        <w:tc>
          <w:tcPr>
            <w:tcW w:w="7200" w:type="dxa"/>
          </w:tcPr>
          <w:p w14:paraId="20DE0291" w14:textId="7E5DC82A"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amount of flammable material that your lab allows to be used/transferred inside the hood. This may be the same as your maximum scale, listed above.</w:t>
            </w:r>
          </w:p>
        </w:tc>
      </w:tr>
      <w:tr w:rsidR="00611334" w:rsidRPr="0049623D" w14:paraId="218C1D1E" w14:textId="77777777" w:rsidTr="0049623D">
        <w:tc>
          <w:tcPr>
            <w:tcW w:w="2605" w:type="dxa"/>
          </w:tcPr>
          <w:p w14:paraId="4EEBDBEC" w14:textId="1745D6E0" w:rsidR="00611334" w:rsidRPr="0049623D" w:rsidRDefault="00611334" w:rsidP="00000679">
            <w:pPr>
              <w:rPr>
                <w:rFonts w:asciiTheme="minorHAnsi" w:hAnsiTheme="minorHAnsi"/>
                <w:b/>
                <w:sz w:val="24"/>
              </w:rPr>
            </w:pPr>
            <w:r w:rsidRPr="0049623D">
              <w:rPr>
                <w:rFonts w:asciiTheme="minorHAnsi" w:hAnsiTheme="minorHAnsi"/>
                <w:b/>
                <w:sz w:val="24"/>
              </w:rPr>
              <w:t>Maximum out of hood</w:t>
            </w:r>
          </w:p>
        </w:tc>
        <w:tc>
          <w:tcPr>
            <w:tcW w:w="7200" w:type="dxa"/>
          </w:tcPr>
          <w:p w14:paraId="4960CC58" w14:textId="66796E88"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amount of flammable material that your lab allows to be used/transferred outside of the hood.</w:t>
            </w:r>
            <w:r w:rsidR="00E02EC2">
              <w:rPr>
                <w:rFonts w:asciiTheme="minorHAnsi" w:hAnsiTheme="minorHAnsi"/>
                <w:bCs/>
                <w:i/>
                <w:sz w:val="24"/>
                <w:highlight w:val="yellow"/>
              </w:rPr>
              <w:t xml:space="preserve"> </w:t>
            </w:r>
            <w:r w:rsidR="00E02EC2" w:rsidRPr="00E02EC2">
              <w:rPr>
                <w:rFonts w:asciiTheme="minorHAnsi" w:hAnsiTheme="minorHAnsi"/>
                <w:bCs/>
                <w:i/>
                <w:sz w:val="24"/>
              </w:rPr>
              <w:t xml:space="preserve">Regent Containers must be </w:t>
            </w:r>
            <w:r w:rsidR="00E02EC2" w:rsidRPr="00E02EC2">
              <w:rPr>
                <w:rFonts w:asciiTheme="minorHAnsi" w:hAnsiTheme="minorHAnsi"/>
                <w:bCs/>
                <w:i/>
                <w:sz w:val="24"/>
                <w:u w:val="single"/>
              </w:rPr>
              <w:t xml:space="preserve">&lt; </w:t>
            </w:r>
            <w:r w:rsidR="00E02EC2" w:rsidRPr="00E02EC2">
              <w:rPr>
                <w:rFonts w:asciiTheme="minorHAnsi" w:hAnsiTheme="minorHAnsi"/>
                <w:bCs/>
                <w:i/>
                <w:sz w:val="24"/>
              </w:rPr>
              <w:t xml:space="preserve">4 L </w:t>
            </w:r>
          </w:p>
        </w:tc>
      </w:tr>
    </w:tbl>
    <w:p w14:paraId="3129F494" w14:textId="77777777" w:rsidR="00611334" w:rsidRPr="0049623D" w:rsidRDefault="00611334" w:rsidP="002E0279">
      <w:pPr>
        <w:rPr>
          <w:sz w:val="24"/>
          <w:szCs w:val="32"/>
        </w:rPr>
      </w:pPr>
    </w:p>
    <w:p w14:paraId="6265FBDA" w14:textId="77777777" w:rsidR="002E0279" w:rsidRPr="0049623D" w:rsidRDefault="002E0279" w:rsidP="002E0279">
      <w:pPr>
        <w:rPr>
          <w:b/>
          <w:i/>
          <w:sz w:val="28"/>
          <w:szCs w:val="32"/>
        </w:rPr>
      </w:pPr>
      <w:r w:rsidRPr="0049623D">
        <w:rPr>
          <w:b/>
          <w:i/>
          <w:sz w:val="28"/>
          <w:szCs w:val="32"/>
        </w:rPr>
        <w:t>Control Plan</w:t>
      </w:r>
    </w:p>
    <w:p w14:paraId="12373B16" w14:textId="77777777" w:rsidR="00AA5F92" w:rsidRDefault="00AA5F92" w:rsidP="002E0279">
      <w:pPr>
        <w:rPr>
          <w:i/>
          <w:sz w:val="28"/>
          <w:szCs w:val="32"/>
        </w:rPr>
      </w:pPr>
      <w:r w:rsidRPr="0049623D">
        <w:rPr>
          <w:i/>
          <w:sz w:val="28"/>
          <w:szCs w:val="32"/>
        </w:rPr>
        <w:t>Storage and Transport</w:t>
      </w:r>
    </w:p>
    <w:p w14:paraId="0DEEF45E" w14:textId="19446E8B" w:rsidR="003F2D91" w:rsidRDefault="003F2D91" w:rsidP="003F2D91">
      <w:pPr>
        <w:pStyle w:val="ListParagraph"/>
        <w:numPr>
          <w:ilvl w:val="0"/>
          <w:numId w:val="3"/>
        </w:numPr>
        <w:rPr>
          <w:sz w:val="24"/>
          <w:szCs w:val="32"/>
        </w:rPr>
      </w:pPr>
      <w:r w:rsidRPr="00017E99">
        <w:rPr>
          <w:sz w:val="24"/>
          <w:szCs w:val="32"/>
        </w:rPr>
        <w:t xml:space="preserve">Flammables must never be stored near oxygen or heat sources. </w:t>
      </w:r>
    </w:p>
    <w:p w14:paraId="71519725" w14:textId="0D46A9F8" w:rsidR="00667D9F" w:rsidRDefault="00667D9F" w:rsidP="003F2D91">
      <w:pPr>
        <w:pStyle w:val="ListParagraph"/>
        <w:numPr>
          <w:ilvl w:val="0"/>
          <w:numId w:val="3"/>
        </w:numPr>
        <w:rPr>
          <w:sz w:val="24"/>
          <w:szCs w:val="32"/>
        </w:rPr>
      </w:pPr>
      <w:r>
        <w:rPr>
          <w:sz w:val="24"/>
          <w:szCs w:val="32"/>
        </w:rPr>
        <w:t>Flammables often</w:t>
      </w:r>
      <w:r w:rsidRPr="00B06264">
        <w:rPr>
          <w:sz w:val="24"/>
          <w:szCs w:val="32"/>
        </w:rPr>
        <w:t xml:space="preserve"> have additional hazards associated with them, such as toxicity, corrosiveness, or being a peroxide former</w:t>
      </w:r>
      <w:r>
        <w:rPr>
          <w:sz w:val="24"/>
          <w:szCs w:val="32"/>
        </w:rPr>
        <w:t xml:space="preserve">. Flammability has a higher priority than these other hazards and they should all be stored within the flammable storage area. E.g. Glacial Acetic acid is both flammable and corrosive and needs to go in the flammable storage cabinet. </w:t>
      </w:r>
    </w:p>
    <w:p w14:paraId="7A6E8733" w14:textId="77777777" w:rsidR="003F2D91" w:rsidRPr="00017E99" w:rsidRDefault="003F2D91" w:rsidP="003F2D91">
      <w:pPr>
        <w:pStyle w:val="ListParagraph"/>
        <w:numPr>
          <w:ilvl w:val="0"/>
          <w:numId w:val="3"/>
        </w:numPr>
        <w:rPr>
          <w:i/>
          <w:sz w:val="28"/>
          <w:szCs w:val="32"/>
        </w:rPr>
      </w:pPr>
      <w:r>
        <w:rPr>
          <w:sz w:val="24"/>
          <w:szCs w:val="32"/>
        </w:rPr>
        <w:t>Metal or plastic-coated amber bottles are recommended to block light from forming peroxides and for strength and integrity.</w:t>
      </w:r>
    </w:p>
    <w:p w14:paraId="42C56220" w14:textId="4B16B4D8" w:rsidR="00ED4836" w:rsidRPr="00ED4836" w:rsidRDefault="00ED4836" w:rsidP="00ED4836">
      <w:pPr>
        <w:pStyle w:val="ListParagraph"/>
        <w:numPr>
          <w:ilvl w:val="0"/>
          <w:numId w:val="3"/>
        </w:numPr>
        <w:rPr>
          <w:i/>
          <w:sz w:val="28"/>
          <w:szCs w:val="32"/>
        </w:rPr>
      </w:pPr>
      <w:r>
        <w:rPr>
          <w:sz w:val="24"/>
          <w:szCs w:val="32"/>
        </w:rPr>
        <w:t xml:space="preserve">Contact DEHS if you want to purchase flammables in containers &gt; 4 L. You must create a transfer, grounding and bonding plan. </w:t>
      </w:r>
      <w:r w:rsidR="003F2D91" w:rsidRPr="00B06264">
        <w:rPr>
          <w:sz w:val="24"/>
          <w:szCs w:val="32"/>
        </w:rPr>
        <w:t xml:space="preserve">The maximum size for ANY </w:t>
      </w:r>
      <w:r w:rsidR="00CB1636">
        <w:rPr>
          <w:sz w:val="24"/>
          <w:szCs w:val="32"/>
        </w:rPr>
        <w:t xml:space="preserve">waste </w:t>
      </w:r>
      <w:r w:rsidR="003F2D91" w:rsidRPr="00B06264">
        <w:rPr>
          <w:sz w:val="24"/>
          <w:szCs w:val="32"/>
        </w:rPr>
        <w:t xml:space="preserve">container is 5 gallons (20 L). If you </w:t>
      </w:r>
      <w:r>
        <w:rPr>
          <w:sz w:val="24"/>
          <w:szCs w:val="32"/>
        </w:rPr>
        <w:t>need</w:t>
      </w:r>
      <w:r w:rsidR="003F2D91" w:rsidRPr="00B06264">
        <w:rPr>
          <w:sz w:val="24"/>
          <w:szCs w:val="32"/>
        </w:rPr>
        <w:t xml:space="preserve"> to store flammables in a container larger than 5 gallons (such as a drum), contact DEHS at (612) 626-6002 for guidance.</w:t>
      </w:r>
    </w:p>
    <w:p w14:paraId="71A216A6" w14:textId="06D4B7EB" w:rsidR="003F2D91" w:rsidRPr="00E96610" w:rsidRDefault="003F2D91" w:rsidP="00AD058E">
      <w:pPr>
        <w:pStyle w:val="ListParagraph"/>
        <w:numPr>
          <w:ilvl w:val="0"/>
          <w:numId w:val="3"/>
        </w:numPr>
        <w:rPr>
          <w:color w:val="000000" w:themeColor="text1"/>
          <w:sz w:val="24"/>
          <w:szCs w:val="32"/>
        </w:rPr>
      </w:pPr>
      <w:r w:rsidRPr="003F2D91">
        <w:rPr>
          <w:sz w:val="24"/>
          <w:szCs w:val="32"/>
        </w:rPr>
        <w:t xml:space="preserve">When moving flammables through public spaces, </w:t>
      </w:r>
      <w:r w:rsidRPr="00E96610">
        <w:rPr>
          <w:color w:val="000000" w:themeColor="text1"/>
          <w:sz w:val="24"/>
          <w:szCs w:val="32"/>
        </w:rPr>
        <w:t>flammable containers should be fully enclosed so the contents would be contained if the bottle was dropped or broken.</w:t>
      </w:r>
    </w:p>
    <w:p w14:paraId="7289C5BA" w14:textId="3331FC30" w:rsidR="00017E99" w:rsidRDefault="00AA5F92" w:rsidP="00017E99">
      <w:pPr>
        <w:pStyle w:val="ListParagraph"/>
        <w:numPr>
          <w:ilvl w:val="0"/>
          <w:numId w:val="3"/>
        </w:numPr>
        <w:rPr>
          <w:sz w:val="24"/>
          <w:szCs w:val="32"/>
        </w:rPr>
      </w:pPr>
      <w:r w:rsidRPr="00E96610">
        <w:rPr>
          <w:color w:val="000000" w:themeColor="text1"/>
          <w:sz w:val="24"/>
          <w:szCs w:val="32"/>
        </w:rPr>
        <w:t xml:space="preserve">When not in use, all flammables must be stored in safety cans, flammable </w:t>
      </w:r>
      <w:r w:rsidRPr="00017E99">
        <w:rPr>
          <w:sz w:val="24"/>
          <w:szCs w:val="32"/>
        </w:rPr>
        <w:t xml:space="preserve">storage cabinets, or flammable-safe fridges. </w:t>
      </w:r>
      <w:r w:rsidR="00ED4836">
        <w:rPr>
          <w:sz w:val="24"/>
          <w:szCs w:val="32"/>
        </w:rPr>
        <w:t xml:space="preserve"> Flammable </w:t>
      </w:r>
      <w:r w:rsidR="00CB1636">
        <w:rPr>
          <w:sz w:val="24"/>
          <w:szCs w:val="32"/>
        </w:rPr>
        <w:t xml:space="preserve">glass cleaning </w:t>
      </w:r>
      <w:r w:rsidR="00ED4836">
        <w:rPr>
          <w:sz w:val="24"/>
          <w:szCs w:val="32"/>
        </w:rPr>
        <w:t xml:space="preserve">baths, and </w:t>
      </w:r>
      <w:r w:rsidR="00CB1636">
        <w:rPr>
          <w:sz w:val="24"/>
          <w:szCs w:val="32"/>
        </w:rPr>
        <w:t xml:space="preserve">chromatography </w:t>
      </w:r>
      <w:r w:rsidR="00ED4836">
        <w:rPr>
          <w:sz w:val="24"/>
          <w:szCs w:val="32"/>
        </w:rPr>
        <w:t xml:space="preserve">equipment that </w:t>
      </w:r>
      <w:r w:rsidR="005F2D72">
        <w:rPr>
          <w:sz w:val="24"/>
          <w:szCs w:val="32"/>
        </w:rPr>
        <w:t>can</w:t>
      </w:r>
      <w:r w:rsidR="00ED4836">
        <w:rPr>
          <w:sz w:val="24"/>
          <w:szCs w:val="32"/>
        </w:rPr>
        <w:t xml:space="preserve">not fit in a hood </w:t>
      </w:r>
      <w:r w:rsidR="005F2D72">
        <w:rPr>
          <w:sz w:val="24"/>
          <w:szCs w:val="32"/>
        </w:rPr>
        <w:t xml:space="preserve">should be </w:t>
      </w:r>
      <w:r w:rsidR="00ED4836">
        <w:rPr>
          <w:sz w:val="24"/>
          <w:szCs w:val="32"/>
        </w:rPr>
        <w:t xml:space="preserve">reviewed by DEHS to ensure vapors are controlled and </w:t>
      </w:r>
      <w:r w:rsidR="005F2D72">
        <w:rPr>
          <w:sz w:val="24"/>
          <w:szCs w:val="32"/>
        </w:rPr>
        <w:t xml:space="preserve">there is </w:t>
      </w:r>
      <w:r w:rsidR="00ED4836">
        <w:rPr>
          <w:sz w:val="24"/>
          <w:szCs w:val="32"/>
        </w:rPr>
        <w:t>protection from ignition sources.</w:t>
      </w:r>
    </w:p>
    <w:p w14:paraId="729FE88A" w14:textId="5236D4A7" w:rsidR="00017E99" w:rsidRPr="00E96610" w:rsidRDefault="00AA5F92" w:rsidP="00452A09">
      <w:pPr>
        <w:pStyle w:val="ListParagraph"/>
        <w:numPr>
          <w:ilvl w:val="0"/>
          <w:numId w:val="3"/>
        </w:numPr>
        <w:rPr>
          <w:color w:val="000000" w:themeColor="text1"/>
          <w:sz w:val="24"/>
          <w:szCs w:val="32"/>
        </w:rPr>
      </w:pPr>
      <w:r w:rsidRPr="00E96610">
        <w:rPr>
          <w:color w:val="000000" w:themeColor="text1"/>
          <w:sz w:val="24"/>
          <w:szCs w:val="32"/>
        </w:rPr>
        <w:t xml:space="preserve">Because of </w:t>
      </w:r>
      <w:r w:rsidR="007E7DDE" w:rsidRPr="00E96610">
        <w:rPr>
          <w:color w:val="000000" w:themeColor="text1"/>
          <w:sz w:val="24"/>
          <w:szCs w:val="32"/>
        </w:rPr>
        <w:t>the storage requirements for flammable materials</w:t>
      </w:r>
      <w:r w:rsidRPr="00E96610">
        <w:rPr>
          <w:color w:val="000000" w:themeColor="text1"/>
          <w:sz w:val="24"/>
          <w:szCs w:val="32"/>
        </w:rPr>
        <w:t xml:space="preserve">, space may be limited, so materials should only be ordered on a space-available basis. </w:t>
      </w:r>
      <w:r w:rsidR="00FE3038" w:rsidRPr="00E96610">
        <w:rPr>
          <w:color w:val="000000" w:themeColor="text1"/>
          <w:sz w:val="24"/>
          <w:szCs w:val="32"/>
        </w:rPr>
        <w:t>Be aware of limits on the size of individual containers of flammable materials, as well as limits on the total volume of flammables allowed in your space.</w:t>
      </w:r>
      <w:r w:rsidR="007E7DDE" w:rsidRPr="00E96610">
        <w:rPr>
          <w:color w:val="000000" w:themeColor="text1"/>
          <w:sz w:val="24"/>
          <w:szCs w:val="32"/>
        </w:rPr>
        <w:t xml:space="preserve"> For more information on volume limits for flammables, contact DEHS.</w:t>
      </w:r>
    </w:p>
    <w:p w14:paraId="19C30CA7" w14:textId="77777777" w:rsidR="00017E99" w:rsidRDefault="00AA5F92" w:rsidP="00452A09">
      <w:pPr>
        <w:pStyle w:val="ListParagraph"/>
        <w:numPr>
          <w:ilvl w:val="0"/>
          <w:numId w:val="3"/>
        </w:numPr>
        <w:rPr>
          <w:sz w:val="24"/>
          <w:szCs w:val="32"/>
        </w:rPr>
      </w:pPr>
      <w:r w:rsidRPr="00017E99">
        <w:rPr>
          <w:sz w:val="24"/>
          <w:szCs w:val="32"/>
        </w:rPr>
        <w:t>Flammables are allowed to be kept in all space below fume hoods, and any built-in flammable storage cabinets.</w:t>
      </w:r>
      <w:r w:rsidR="00FE3038" w:rsidRPr="00017E99">
        <w:rPr>
          <w:sz w:val="24"/>
          <w:szCs w:val="32"/>
        </w:rPr>
        <w:t xml:space="preserve"> DEHS recommends that free-standing cabinets in laboratories have a capacity of less than 45 gallons per cabinet, with no more than 3 free-standing cabinets per row of bench space or small room. </w:t>
      </w:r>
    </w:p>
    <w:p w14:paraId="4DE93BE9" w14:textId="113EA65A" w:rsidR="007E7DDE" w:rsidRPr="00E96610" w:rsidRDefault="007E7DDE" w:rsidP="00452A09">
      <w:pPr>
        <w:pStyle w:val="ListParagraph"/>
        <w:numPr>
          <w:ilvl w:val="0"/>
          <w:numId w:val="3"/>
        </w:numPr>
        <w:rPr>
          <w:color w:val="000000" w:themeColor="text1"/>
          <w:sz w:val="24"/>
          <w:szCs w:val="32"/>
        </w:rPr>
      </w:pPr>
      <w:r w:rsidRPr="00E96610">
        <w:rPr>
          <w:color w:val="000000" w:themeColor="text1"/>
          <w:sz w:val="24"/>
          <w:szCs w:val="32"/>
        </w:rPr>
        <w:t>Chemical storage cabinets must be kept closed. If the cabinet is not connected to ventilation, bungs must also be kept closed. If ventilated, a flash arrestor (a fine metallic screen) should be installed to prevent backflow or flashbacks of flames if the vapors on either side should ignite. The bottom bung should be used for venting because flammable vapors tend to be heavier than air. If the cabinet venting stops working, cle</w:t>
      </w:r>
      <w:r w:rsidR="00A066DD">
        <w:rPr>
          <w:color w:val="000000" w:themeColor="text1"/>
          <w:sz w:val="24"/>
          <w:szCs w:val="32"/>
        </w:rPr>
        <w:t>an the screen with a wire brush. If that doesn’t work contact FM to ensure</w:t>
      </w:r>
      <w:r w:rsidRPr="00E96610">
        <w:rPr>
          <w:color w:val="000000" w:themeColor="text1"/>
          <w:sz w:val="24"/>
          <w:szCs w:val="32"/>
        </w:rPr>
        <w:t xml:space="preserve"> </w:t>
      </w:r>
      <w:r w:rsidR="00A066DD">
        <w:rPr>
          <w:color w:val="000000" w:themeColor="text1"/>
          <w:sz w:val="24"/>
          <w:szCs w:val="32"/>
        </w:rPr>
        <w:t>dampers are open and have adequate flow.</w:t>
      </w:r>
    </w:p>
    <w:p w14:paraId="64EFEAAB" w14:textId="77777777" w:rsidR="00017E99" w:rsidRDefault="00AA5F92" w:rsidP="00017E99">
      <w:pPr>
        <w:pStyle w:val="ListParagraph"/>
        <w:numPr>
          <w:ilvl w:val="0"/>
          <w:numId w:val="3"/>
        </w:numPr>
        <w:rPr>
          <w:sz w:val="24"/>
          <w:szCs w:val="32"/>
        </w:rPr>
      </w:pPr>
      <w:r w:rsidRPr="00017E99">
        <w:rPr>
          <w:sz w:val="24"/>
          <w:szCs w:val="32"/>
        </w:rPr>
        <w:t>Minimize contact with air, and when possible, keep a blanket of inert gas over the material.</w:t>
      </w:r>
      <w:r w:rsidR="00FE3038" w:rsidRPr="00017E99">
        <w:rPr>
          <w:sz w:val="24"/>
          <w:szCs w:val="32"/>
        </w:rPr>
        <w:t xml:space="preserve"> </w:t>
      </w:r>
    </w:p>
    <w:p w14:paraId="77B7B3CA" w14:textId="3CDE654F" w:rsidR="00017E99" w:rsidRDefault="00FE3038" w:rsidP="00017E99">
      <w:pPr>
        <w:pStyle w:val="ListParagraph"/>
        <w:numPr>
          <w:ilvl w:val="0"/>
          <w:numId w:val="3"/>
        </w:numPr>
        <w:rPr>
          <w:sz w:val="24"/>
          <w:szCs w:val="32"/>
        </w:rPr>
      </w:pPr>
      <w:r w:rsidRPr="00017E99">
        <w:rPr>
          <w:sz w:val="24"/>
          <w:szCs w:val="32"/>
        </w:rPr>
        <w:t xml:space="preserve">Small amounts of flammables (&lt; 1 L) may be left out in the lab. On a space-available basis, combustibles and containers &lt; 1 L should be stored in </w:t>
      </w:r>
      <w:r w:rsidR="00E96610">
        <w:rPr>
          <w:sz w:val="24"/>
          <w:szCs w:val="32"/>
        </w:rPr>
        <w:t>flammable cabinets</w:t>
      </w:r>
      <w:r w:rsidRPr="00017E99">
        <w:rPr>
          <w:sz w:val="24"/>
          <w:szCs w:val="32"/>
        </w:rPr>
        <w:t xml:space="preserve">. </w:t>
      </w:r>
    </w:p>
    <w:p w14:paraId="0599AE0F" w14:textId="5D794431" w:rsidR="00AA5F92" w:rsidRPr="00017E99" w:rsidRDefault="00FE3038" w:rsidP="00017E99">
      <w:pPr>
        <w:pStyle w:val="ListParagraph"/>
        <w:numPr>
          <w:ilvl w:val="0"/>
          <w:numId w:val="3"/>
        </w:numPr>
        <w:rPr>
          <w:sz w:val="24"/>
          <w:szCs w:val="32"/>
        </w:rPr>
      </w:pPr>
      <w:r w:rsidRPr="00017E99">
        <w:rPr>
          <w:sz w:val="24"/>
          <w:szCs w:val="32"/>
        </w:rPr>
        <w:t>Halogenated organics which are not flammable are not required to be stored in a flammable cabinet. You may choose to put them there to control vapors on a space-available basis.</w:t>
      </w:r>
    </w:p>
    <w:p w14:paraId="29B17AB2" w14:textId="63867642" w:rsidR="00AA5F92" w:rsidRPr="00017E99" w:rsidRDefault="00FE3038" w:rsidP="00017E99">
      <w:pPr>
        <w:pStyle w:val="ListParagraph"/>
        <w:numPr>
          <w:ilvl w:val="0"/>
          <w:numId w:val="3"/>
        </w:numPr>
        <w:rPr>
          <w:i/>
          <w:sz w:val="28"/>
          <w:szCs w:val="32"/>
        </w:rPr>
      </w:pPr>
      <w:r w:rsidRPr="00017E99">
        <w:rPr>
          <w:sz w:val="24"/>
          <w:szCs w:val="32"/>
        </w:rPr>
        <w:t xml:space="preserve">If </w:t>
      </w:r>
      <w:r w:rsidR="007E7DDE" w:rsidRPr="00E96610">
        <w:rPr>
          <w:color w:val="000000" w:themeColor="text1"/>
          <w:sz w:val="24"/>
          <w:szCs w:val="32"/>
        </w:rPr>
        <w:t xml:space="preserve">materials must be </w:t>
      </w:r>
      <w:r w:rsidRPr="00E96610">
        <w:rPr>
          <w:color w:val="000000" w:themeColor="text1"/>
          <w:sz w:val="24"/>
          <w:szCs w:val="32"/>
        </w:rPr>
        <w:t>refrigerated</w:t>
      </w:r>
      <w:r w:rsidRPr="00017E99">
        <w:rPr>
          <w:sz w:val="24"/>
          <w:szCs w:val="32"/>
        </w:rPr>
        <w:t>, only a flammable-safe refrigerator should be used. Although cooled, refrigerator temperatures are still higher than the flash points of most flammables, meaning a fire is still possible, even at these lowered temperatures. This makes using a flammable-safe fridge very important.</w:t>
      </w:r>
    </w:p>
    <w:p w14:paraId="69A1B4FD" w14:textId="77777777" w:rsidR="00017E99" w:rsidRPr="00017E99" w:rsidRDefault="00017E99" w:rsidP="00017E99">
      <w:pPr>
        <w:pStyle w:val="ListParagraph"/>
        <w:numPr>
          <w:ilvl w:val="0"/>
          <w:numId w:val="3"/>
        </w:numPr>
        <w:rPr>
          <w:i/>
          <w:sz w:val="28"/>
          <w:szCs w:val="32"/>
        </w:rPr>
      </w:pPr>
      <w:r>
        <w:rPr>
          <w:sz w:val="24"/>
          <w:szCs w:val="32"/>
        </w:rPr>
        <w:t>If you are moving containers between campuses, or will be shipping any material, contact DEHS at (612)-626-6002 before doing so.</w:t>
      </w:r>
    </w:p>
    <w:p w14:paraId="18BCD9C8" w14:textId="77777777" w:rsidR="00AA5F92" w:rsidRPr="0049623D" w:rsidRDefault="00AA5F92" w:rsidP="002E0279">
      <w:pPr>
        <w:rPr>
          <w:i/>
          <w:sz w:val="28"/>
          <w:szCs w:val="32"/>
        </w:rPr>
      </w:pPr>
      <w:r w:rsidRPr="0049623D">
        <w:rPr>
          <w:i/>
          <w:sz w:val="28"/>
          <w:szCs w:val="32"/>
        </w:rPr>
        <w:t>Set-Up and Active Work</w:t>
      </w:r>
    </w:p>
    <w:p w14:paraId="35ABD919" w14:textId="77777777" w:rsidR="00017E99" w:rsidRPr="00017E99" w:rsidRDefault="00017E99" w:rsidP="00017E99">
      <w:pPr>
        <w:pStyle w:val="ListParagraph"/>
        <w:numPr>
          <w:ilvl w:val="0"/>
          <w:numId w:val="4"/>
        </w:numPr>
        <w:rPr>
          <w:sz w:val="28"/>
          <w:szCs w:val="32"/>
        </w:rPr>
      </w:pPr>
      <w:r w:rsidRPr="00017E99">
        <w:rPr>
          <w:sz w:val="24"/>
          <w:szCs w:val="32"/>
        </w:rPr>
        <w:t xml:space="preserve">Open flame should never be used around flammables. </w:t>
      </w:r>
    </w:p>
    <w:p w14:paraId="1CB456B2" w14:textId="77777777" w:rsidR="00017E99" w:rsidRPr="00017E99" w:rsidRDefault="00017E99" w:rsidP="00017E99">
      <w:pPr>
        <w:pStyle w:val="ListParagraph"/>
        <w:numPr>
          <w:ilvl w:val="0"/>
          <w:numId w:val="4"/>
        </w:numPr>
        <w:rPr>
          <w:sz w:val="28"/>
          <w:szCs w:val="32"/>
        </w:rPr>
      </w:pPr>
      <w:r w:rsidRPr="00017E99">
        <w:rPr>
          <w:sz w:val="24"/>
          <w:szCs w:val="32"/>
        </w:rPr>
        <w:t xml:space="preserve">If you must use open flame, remove all flammables from the area, even if they are in closed containers. </w:t>
      </w:r>
    </w:p>
    <w:p w14:paraId="58E1EF16" w14:textId="191E098B" w:rsidR="00017E99" w:rsidRPr="00E96610" w:rsidRDefault="004D1643" w:rsidP="00017E99">
      <w:pPr>
        <w:pStyle w:val="ListParagraph"/>
        <w:numPr>
          <w:ilvl w:val="0"/>
          <w:numId w:val="4"/>
        </w:numPr>
        <w:rPr>
          <w:color w:val="000000" w:themeColor="text1"/>
          <w:sz w:val="24"/>
          <w:szCs w:val="32"/>
        </w:rPr>
      </w:pPr>
      <w:r w:rsidRPr="00E96610">
        <w:rPr>
          <w:color w:val="000000" w:themeColor="text1"/>
          <w:sz w:val="24"/>
          <w:szCs w:val="32"/>
        </w:rPr>
        <w:t>Good transfer and dispensing technique includes securing the receiving container, transferring at a slow rate, minimizing turbulent flow, keeping close contact between containers</w:t>
      </w:r>
      <w:r w:rsidR="007E7DDE" w:rsidRPr="00E96610">
        <w:rPr>
          <w:color w:val="000000" w:themeColor="text1"/>
          <w:sz w:val="24"/>
          <w:szCs w:val="32"/>
        </w:rPr>
        <w:t>, and using a funnel</w:t>
      </w:r>
      <w:r w:rsidRPr="00E96610">
        <w:rPr>
          <w:color w:val="000000" w:themeColor="text1"/>
          <w:sz w:val="24"/>
          <w:szCs w:val="32"/>
        </w:rPr>
        <w:t xml:space="preserve">. Splashing and turbulence should be avoided during transfers as they create mists and increase vapor generation. </w:t>
      </w:r>
    </w:p>
    <w:p w14:paraId="4198A46D" w14:textId="7697F473" w:rsidR="00017E99" w:rsidRDefault="004D1643" w:rsidP="00017E99">
      <w:pPr>
        <w:pStyle w:val="ListParagraph"/>
        <w:numPr>
          <w:ilvl w:val="0"/>
          <w:numId w:val="4"/>
        </w:numPr>
        <w:rPr>
          <w:sz w:val="24"/>
          <w:szCs w:val="32"/>
        </w:rPr>
      </w:pPr>
      <w:r w:rsidRPr="00017E99">
        <w:rPr>
          <w:sz w:val="24"/>
          <w:szCs w:val="32"/>
        </w:rPr>
        <w:t>Transfer</w:t>
      </w:r>
      <w:r w:rsidR="007E7DDE">
        <w:rPr>
          <w:sz w:val="24"/>
          <w:szCs w:val="32"/>
        </w:rPr>
        <w:t xml:space="preserve">s should be done slowly, so the </w:t>
      </w:r>
      <w:r w:rsidRPr="00017E99">
        <w:rPr>
          <w:sz w:val="24"/>
          <w:szCs w:val="32"/>
        </w:rPr>
        <w:t xml:space="preserve">accumulated charge </w:t>
      </w:r>
      <w:r w:rsidR="007E7DDE">
        <w:rPr>
          <w:sz w:val="24"/>
          <w:szCs w:val="32"/>
        </w:rPr>
        <w:t xml:space="preserve">has </w:t>
      </w:r>
      <w:r w:rsidRPr="00017E99">
        <w:rPr>
          <w:sz w:val="24"/>
          <w:szCs w:val="32"/>
        </w:rPr>
        <w:t xml:space="preserve">time to disperse. If you must transfer flammables quickly, it should be handled in an inert atmosphere. </w:t>
      </w:r>
    </w:p>
    <w:p w14:paraId="743D0F1A" w14:textId="77777777" w:rsidR="00017E99" w:rsidRPr="00017E99" w:rsidRDefault="004D1643" w:rsidP="00017E99">
      <w:pPr>
        <w:pStyle w:val="ListParagraph"/>
        <w:numPr>
          <w:ilvl w:val="0"/>
          <w:numId w:val="4"/>
        </w:numPr>
        <w:rPr>
          <w:sz w:val="28"/>
          <w:szCs w:val="32"/>
        </w:rPr>
      </w:pPr>
      <w:r w:rsidRPr="00017E99">
        <w:rPr>
          <w:sz w:val="24"/>
          <w:szCs w:val="32"/>
        </w:rPr>
        <w:t xml:space="preserve">Avoid heating flammable materials to or above their flash points. </w:t>
      </w:r>
    </w:p>
    <w:p w14:paraId="7A36B677" w14:textId="77777777" w:rsidR="00017E99" w:rsidRPr="00B07B8F" w:rsidRDefault="004D1643" w:rsidP="00017E99">
      <w:pPr>
        <w:pStyle w:val="ListParagraph"/>
        <w:numPr>
          <w:ilvl w:val="0"/>
          <w:numId w:val="4"/>
        </w:numPr>
        <w:rPr>
          <w:sz w:val="28"/>
          <w:szCs w:val="32"/>
        </w:rPr>
      </w:pPr>
      <w:r w:rsidRPr="00017E99">
        <w:rPr>
          <w:sz w:val="24"/>
          <w:szCs w:val="32"/>
        </w:rPr>
        <w:t xml:space="preserve">If more than 0.25 L of flammable material is heated in a glass container, secondary containment is required. </w:t>
      </w:r>
    </w:p>
    <w:p w14:paraId="2503D123" w14:textId="77777777" w:rsidR="00B07B8F" w:rsidRPr="00017E99" w:rsidRDefault="00B07B8F" w:rsidP="00B07B8F">
      <w:pPr>
        <w:pStyle w:val="ListParagraph"/>
        <w:numPr>
          <w:ilvl w:val="0"/>
          <w:numId w:val="4"/>
        </w:numPr>
        <w:rPr>
          <w:sz w:val="24"/>
          <w:szCs w:val="32"/>
        </w:rPr>
      </w:pPr>
      <w:r w:rsidRPr="00017E99">
        <w:rPr>
          <w:sz w:val="24"/>
          <w:szCs w:val="32"/>
        </w:rPr>
        <w:t>Select personal attire to minimize static generation. Cotton is static-neutral and recommended. Ideally, shoe soles should be leather for static dissipation – rubber should be avoided as it is insulated. Synthetic rubber, which is carbon impregnated, is conductive.</w:t>
      </w:r>
    </w:p>
    <w:p w14:paraId="1E7AE796" w14:textId="77777777" w:rsidR="00B07B8F" w:rsidRDefault="00B07B8F" w:rsidP="00B07B8F">
      <w:pPr>
        <w:pStyle w:val="ListParagraph"/>
        <w:numPr>
          <w:ilvl w:val="0"/>
          <w:numId w:val="4"/>
        </w:numPr>
        <w:rPr>
          <w:sz w:val="24"/>
          <w:szCs w:val="32"/>
        </w:rPr>
      </w:pPr>
      <w:r>
        <w:rPr>
          <w:sz w:val="24"/>
          <w:szCs w:val="32"/>
        </w:rPr>
        <w:t>Keep all potential heat or spark-producing equipment a safe distance away from where flammable materials are handled. This equipment includes burners, induction heaters, ovens, furnaces, gas-fired space heating or water-heating equipment, and electrical equipment such as stirring devices, motor relays, switches, and other parts.</w:t>
      </w:r>
    </w:p>
    <w:p w14:paraId="41F66815" w14:textId="1807ED35" w:rsidR="00B07B8F" w:rsidRPr="00B07B8F" w:rsidRDefault="00B07B8F" w:rsidP="00711056">
      <w:pPr>
        <w:pStyle w:val="ListParagraph"/>
        <w:numPr>
          <w:ilvl w:val="0"/>
          <w:numId w:val="4"/>
        </w:numPr>
        <w:rPr>
          <w:sz w:val="28"/>
          <w:szCs w:val="32"/>
        </w:rPr>
      </w:pPr>
      <w:r w:rsidRPr="00B07B8F">
        <w:rPr>
          <w:sz w:val="24"/>
          <w:szCs w:val="32"/>
        </w:rPr>
        <w:t>Only non-sparking explosion-proof (intrinsically safe) equipment should be used with large volumes of flammables (&gt;4 L).</w:t>
      </w:r>
    </w:p>
    <w:p w14:paraId="0DDDCF4E" w14:textId="77777777" w:rsidR="00AA5F92" w:rsidRDefault="00AA5F92" w:rsidP="002E0279">
      <w:pPr>
        <w:rPr>
          <w:i/>
          <w:sz w:val="28"/>
          <w:szCs w:val="32"/>
        </w:rPr>
      </w:pPr>
      <w:r w:rsidRPr="0049623D">
        <w:rPr>
          <w:i/>
          <w:sz w:val="28"/>
          <w:szCs w:val="32"/>
        </w:rPr>
        <w:t>Exposure Controls</w:t>
      </w:r>
    </w:p>
    <w:p w14:paraId="3EE3D881" w14:textId="3EC413D4" w:rsidR="00B07B8F" w:rsidRPr="00B07B8F" w:rsidRDefault="00B07B8F" w:rsidP="007C276A">
      <w:pPr>
        <w:pStyle w:val="ListParagraph"/>
        <w:numPr>
          <w:ilvl w:val="0"/>
          <w:numId w:val="4"/>
        </w:numPr>
        <w:rPr>
          <w:i/>
          <w:sz w:val="28"/>
          <w:szCs w:val="32"/>
        </w:rPr>
      </w:pPr>
      <w:r w:rsidRPr="00B07B8F">
        <w:rPr>
          <w:sz w:val="24"/>
          <w:szCs w:val="32"/>
        </w:rPr>
        <w:t xml:space="preserve">Dispensing or transfers of flammables must be done in a fume hood or with other appropriate ventilation. </w:t>
      </w:r>
    </w:p>
    <w:p w14:paraId="53159A1B" w14:textId="3DB76D73" w:rsidR="00B07B8F" w:rsidRPr="00B07B8F" w:rsidRDefault="00B07B8F" w:rsidP="00E84923">
      <w:pPr>
        <w:pStyle w:val="ListParagraph"/>
        <w:numPr>
          <w:ilvl w:val="0"/>
          <w:numId w:val="4"/>
        </w:numPr>
        <w:rPr>
          <w:i/>
          <w:sz w:val="28"/>
          <w:szCs w:val="32"/>
        </w:rPr>
      </w:pPr>
      <w:r w:rsidRPr="00B07B8F">
        <w:rPr>
          <w:color w:val="000000" w:themeColor="text1"/>
          <w:sz w:val="24"/>
          <w:szCs w:val="32"/>
        </w:rPr>
        <w:t>Avoid using containers with large openings, such as beakers, baths, or vats, when possible, as they may result in higher rates of vapor generation. If you must use them, ventilation controls, such as a fume hood, are recommended to decrease the hazard of flammable and inhalable vapors.</w:t>
      </w:r>
    </w:p>
    <w:p w14:paraId="1EB0C074" w14:textId="3F53F09F" w:rsidR="00B07B8F" w:rsidRPr="00B07B8F" w:rsidRDefault="00B07B8F" w:rsidP="00E53F9E">
      <w:pPr>
        <w:pStyle w:val="ListParagraph"/>
        <w:numPr>
          <w:ilvl w:val="0"/>
          <w:numId w:val="4"/>
        </w:numPr>
        <w:rPr>
          <w:i/>
          <w:sz w:val="28"/>
          <w:szCs w:val="32"/>
        </w:rPr>
      </w:pPr>
      <w:r w:rsidRPr="00B07B8F">
        <w:rPr>
          <w:sz w:val="24"/>
          <w:szCs w:val="32"/>
        </w:rPr>
        <w:t>Dispensing of squeeze bottles is allowed outside of a fume hood. Filling the bottles should be done inside the hood. Squeeze bottles do not need to be ventilated.</w:t>
      </w:r>
    </w:p>
    <w:p w14:paraId="5D91835D" w14:textId="77777777" w:rsidR="00B06264" w:rsidRDefault="00B06264" w:rsidP="00B06264">
      <w:pPr>
        <w:rPr>
          <w:b/>
          <w:sz w:val="24"/>
          <w:szCs w:val="32"/>
        </w:rPr>
      </w:pPr>
      <w:r>
        <w:rPr>
          <w:b/>
          <w:sz w:val="24"/>
          <w:szCs w:val="32"/>
        </w:rPr>
        <w:t>Minimum PPE Requirements</w:t>
      </w:r>
    </w:p>
    <w:p w14:paraId="32697096" w14:textId="1E133B91" w:rsidR="00B06264" w:rsidRDefault="00B06264" w:rsidP="00B06264">
      <w:pPr>
        <w:rPr>
          <w:sz w:val="24"/>
          <w:szCs w:val="32"/>
        </w:rPr>
      </w:pPr>
      <w:r>
        <w:rPr>
          <w:sz w:val="24"/>
          <w:szCs w:val="32"/>
        </w:rPr>
        <w:t>PPE requirements include:</w:t>
      </w:r>
    </w:p>
    <w:p w14:paraId="1210F041" w14:textId="77777777" w:rsidR="00B06264" w:rsidRDefault="00B06264" w:rsidP="00B06264">
      <w:pPr>
        <w:pStyle w:val="ListParagraph"/>
        <w:numPr>
          <w:ilvl w:val="0"/>
          <w:numId w:val="8"/>
        </w:numPr>
        <w:spacing w:line="256" w:lineRule="auto"/>
        <w:rPr>
          <w:sz w:val="24"/>
          <w:szCs w:val="32"/>
          <w:highlight w:val="yellow"/>
        </w:rPr>
      </w:pPr>
      <w:r>
        <w:rPr>
          <w:sz w:val="24"/>
          <w:szCs w:val="32"/>
          <w:highlight w:val="yellow"/>
        </w:rPr>
        <w:t>Lab coat (if applicable to your lab)</w:t>
      </w:r>
    </w:p>
    <w:p w14:paraId="2EDDA536" w14:textId="77777777" w:rsidR="00B06264" w:rsidRDefault="00B06264" w:rsidP="00B06264">
      <w:pPr>
        <w:pStyle w:val="ListParagraph"/>
        <w:numPr>
          <w:ilvl w:val="0"/>
          <w:numId w:val="8"/>
        </w:numPr>
        <w:spacing w:line="256" w:lineRule="auto"/>
        <w:rPr>
          <w:sz w:val="24"/>
          <w:szCs w:val="32"/>
          <w:highlight w:val="yellow"/>
        </w:rPr>
      </w:pPr>
      <w:r>
        <w:rPr>
          <w:sz w:val="24"/>
          <w:szCs w:val="32"/>
          <w:highlight w:val="yellow"/>
        </w:rPr>
        <w:t>Safety glasses/goggles (if applicable to your lab)</w:t>
      </w:r>
    </w:p>
    <w:p w14:paraId="0817D9EB" w14:textId="77777777" w:rsidR="00B06264" w:rsidRDefault="00B06264" w:rsidP="00B06264">
      <w:pPr>
        <w:pStyle w:val="ListParagraph"/>
        <w:numPr>
          <w:ilvl w:val="0"/>
          <w:numId w:val="8"/>
        </w:numPr>
        <w:spacing w:line="256" w:lineRule="auto"/>
        <w:rPr>
          <w:sz w:val="24"/>
          <w:szCs w:val="32"/>
          <w:highlight w:val="yellow"/>
        </w:rPr>
      </w:pPr>
      <w:r>
        <w:rPr>
          <w:sz w:val="24"/>
          <w:szCs w:val="32"/>
          <w:highlight w:val="yellow"/>
        </w:rPr>
        <w:t>Nitrile gloves (if applicable to your lab)</w:t>
      </w:r>
    </w:p>
    <w:p w14:paraId="160FC2EC" w14:textId="77777777" w:rsidR="00B06264" w:rsidRDefault="00B06264" w:rsidP="00B06264">
      <w:pPr>
        <w:pStyle w:val="ListParagraph"/>
        <w:numPr>
          <w:ilvl w:val="0"/>
          <w:numId w:val="8"/>
        </w:numPr>
        <w:spacing w:line="256" w:lineRule="auto"/>
        <w:rPr>
          <w:sz w:val="24"/>
          <w:szCs w:val="32"/>
          <w:highlight w:val="yellow"/>
        </w:rPr>
      </w:pPr>
      <w:r>
        <w:rPr>
          <w:sz w:val="24"/>
          <w:szCs w:val="32"/>
          <w:highlight w:val="yellow"/>
        </w:rPr>
        <w:t>Additional PPE (if applicable)</w:t>
      </w:r>
    </w:p>
    <w:p w14:paraId="75B59433" w14:textId="77777777" w:rsidR="00B06264" w:rsidRDefault="00B06264" w:rsidP="00B06264">
      <w:pPr>
        <w:rPr>
          <w:sz w:val="24"/>
          <w:szCs w:val="32"/>
        </w:rPr>
      </w:pPr>
      <w:r>
        <w:rPr>
          <w:sz w:val="24"/>
          <w:szCs w:val="32"/>
        </w:rPr>
        <w:t>If procedure or material-specific PPE is required beyond the minimum listed above, another SOP should be available for that procedure or material. (Example: cartridge respirator, neoprene gloves, etc.)</w:t>
      </w:r>
    </w:p>
    <w:p w14:paraId="2AA791D7" w14:textId="52E2BFD3" w:rsidR="002E0279" w:rsidRDefault="002E0279" w:rsidP="002E0279">
      <w:pPr>
        <w:rPr>
          <w:b/>
          <w:i/>
          <w:sz w:val="28"/>
          <w:szCs w:val="32"/>
        </w:rPr>
      </w:pPr>
      <w:r w:rsidRPr="0049623D">
        <w:rPr>
          <w:b/>
          <w:i/>
          <w:sz w:val="28"/>
          <w:szCs w:val="32"/>
        </w:rPr>
        <w:t>Spill &amp; Accident Planning</w:t>
      </w:r>
      <w:r w:rsidR="00F043C1" w:rsidRPr="0049623D">
        <w:rPr>
          <w:b/>
          <w:i/>
          <w:sz w:val="28"/>
          <w:szCs w:val="32"/>
        </w:rPr>
        <w:t>/What-If</w:t>
      </w:r>
    </w:p>
    <w:p w14:paraId="0D970854" w14:textId="573EEF26" w:rsidR="00D2790C" w:rsidRPr="00B06264" w:rsidRDefault="004B353F" w:rsidP="001D0C0A">
      <w:pPr>
        <w:rPr>
          <w:sz w:val="24"/>
          <w:szCs w:val="32"/>
        </w:rPr>
      </w:pPr>
      <w:r w:rsidRPr="00B06264">
        <w:rPr>
          <w:sz w:val="24"/>
          <w:szCs w:val="32"/>
        </w:rPr>
        <w:t>During lab-specific training, researchers should be informed where fire extinguishers, safety showers, alarm pull stations, and egress routes are. All labs are set up so that this emergency equipment is readily available and near exits.</w:t>
      </w:r>
    </w:p>
    <w:tbl>
      <w:tblPr>
        <w:tblStyle w:val="TableGrid"/>
        <w:tblW w:w="9355" w:type="dxa"/>
        <w:tblLook w:val="04A0" w:firstRow="1" w:lastRow="0" w:firstColumn="1" w:lastColumn="0" w:noHBand="0" w:noVBand="1"/>
      </w:tblPr>
      <w:tblGrid>
        <w:gridCol w:w="1255"/>
        <w:gridCol w:w="8100"/>
      </w:tblGrid>
      <w:tr w:rsidR="00E92DB8" w:rsidRPr="0049623D" w14:paraId="74742FA6" w14:textId="77777777" w:rsidTr="0049623D">
        <w:tc>
          <w:tcPr>
            <w:tcW w:w="9355" w:type="dxa"/>
            <w:gridSpan w:val="2"/>
            <w:shd w:val="clear" w:color="auto" w:fill="D9D9D9" w:themeFill="background1" w:themeFillShade="D9"/>
          </w:tcPr>
          <w:p w14:paraId="3D1D5F03" w14:textId="06E2E47E" w:rsidR="00E92DB8" w:rsidRPr="0049623D" w:rsidRDefault="00E92DB8" w:rsidP="00000679">
            <w:pPr>
              <w:jc w:val="center"/>
              <w:rPr>
                <w:rFonts w:asciiTheme="minorHAnsi" w:hAnsiTheme="minorHAnsi"/>
                <w:b/>
                <w:bCs/>
                <w:sz w:val="24"/>
              </w:rPr>
            </w:pPr>
            <w:r w:rsidRPr="0049623D">
              <w:rPr>
                <w:rFonts w:asciiTheme="minorHAnsi" w:hAnsiTheme="minorHAnsi"/>
                <w:b/>
                <w:bCs/>
                <w:sz w:val="24"/>
              </w:rPr>
              <w:t>Lab-Specific Emergency Response Procedures</w:t>
            </w:r>
          </w:p>
        </w:tc>
      </w:tr>
      <w:tr w:rsidR="00E92DB8" w:rsidRPr="0049623D" w14:paraId="61AA9A9B" w14:textId="77777777" w:rsidTr="00E92DB8">
        <w:trPr>
          <w:trHeight w:val="260"/>
        </w:trPr>
        <w:tc>
          <w:tcPr>
            <w:tcW w:w="1255" w:type="dxa"/>
          </w:tcPr>
          <w:p w14:paraId="2854DD2E" w14:textId="651F6B82" w:rsidR="00E92DB8" w:rsidRPr="0049623D" w:rsidRDefault="0049623D" w:rsidP="00000679">
            <w:pPr>
              <w:rPr>
                <w:rFonts w:asciiTheme="minorHAnsi" w:hAnsiTheme="minorHAnsi"/>
                <w:b/>
                <w:sz w:val="24"/>
              </w:rPr>
            </w:pPr>
            <w:r w:rsidRPr="0049623D">
              <w:rPr>
                <w:rFonts w:asciiTheme="minorHAnsi" w:hAnsiTheme="minorHAnsi"/>
                <w:b/>
                <w:sz w:val="24"/>
              </w:rPr>
              <w:t xml:space="preserve">Small </w:t>
            </w:r>
            <w:r w:rsidR="00E92DB8" w:rsidRPr="0049623D">
              <w:rPr>
                <w:rFonts w:asciiTheme="minorHAnsi" w:hAnsiTheme="minorHAnsi"/>
                <w:b/>
                <w:sz w:val="24"/>
              </w:rPr>
              <w:t>Fire</w:t>
            </w:r>
          </w:p>
        </w:tc>
        <w:tc>
          <w:tcPr>
            <w:tcW w:w="8100" w:type="dxa"/>
          </w:tcPr>
          <w:p w14:paraId="5AB5FA83" w14:textId="1365CF43" w:rsidR="00E92DB8" w:rsidRPr="0049623D" w:rsidRDefault="0049623D" w:rsidP="009617BE">
            <w:pPr>
              <w:rPr>
                <w:rFonts w:asciiTheme="minorHAnsi" w:hAnsiTheme="minorHAnsi"/>
                <w:bCs/>
                <w:i/>
                <w:sz w:val="24"/>
              </w:rPr>
            </w:pPr>
            <w:r w:rsidRPr="0049623D">
              <w:rPr>
                <w:rFonts w:asciiTheme="minorHAnsi" w:hAnsiTheme="minorHAnsi"/>
                <w:bCs/>
                <w:i/>
                <w:sz w:val="24"/>
                <w:highlight w:val="yellow"/>
              </w:rPr>
              <w:t>Define what (if any) fires your lab allows to be handled internally. Describe lab-specific response procedures.</w:t>
            </w:r>
            <w:r w:rsidR="009617BE">
              <w:rPr>
                <w:rFonts w:asciiTheme="minorHAnsi" w:hAnsiTheme="minorHAnsi"/>
                <w:bCs/>
                <w:i/>
                <w:sz w:val="24"/>
              </w:rPr>
              <w:t xml:space="preserve"> </w:t>
            </w:r>
            <w:r w:rsidR="008F4DC6" w:rsidRPr="008F4DC6">
              <w:rPr>
                <w:rFonts w:asciiTheme="minorHAnsi" w:hAnsiTheme="minorHAnsi"/>
                <w:bCs/>
                <w:sz w:val="24"/>
              </w:rPr>
              <w:t>You are never required to attempt to extinguish a fire – it should only be attempted it if can be done safely and you are comfortable doing so.</w:t>
            </w:r>
          </w:p>
        </w:tc>
      </w:tr>
      <w:tr w:rsidR="0049623D" w:rsidRPr="0049623D" w14:paraId="7ACC7248" w14:textId="77777777" w:rsidTr="00E92DB8">
        <w:trPr>
          <w:trHeight w:val="260"/>
        </w:trPr>
        <w:tc>
          <w:tcPr>
            <w:tcW w:w="1255" w:type="dxa"/>
          </w:tcPr>
          <w:p w14:paraId="2BB4DF6C" w14:textId="10493FC0" w:rsidR="0049623D" w:rsidRPr="0049623D" w:rsidRDefault="0049623D" w:rsidP="00000679">
            <w:pPr>
              <w:rPr>
                <w:rFonts w:asciiTheme="minorHAnsi" w:hAnsiTheme="minorHAnsi"/>
                <w:b/>
                <w:sz w:val="24"/>
              </w:rPr>
            </w:pPr>
            <w:r w:rsidRPr="0049623D">
              <w:rPr>
                <w:rFonts w:asciiTheme="minorHAnsi" w:hAnsiTheme="minorHAnsi"/>
                <w:b/>
                <w:sz w:val="24"/>
              </w:rPr>
              <w:t>Large Fire</w:t>
            </w:r>
          </w:p>
        </w:tc>
        <w:tc>
          <w:tcPr>
            <w:tcW w:w="8100" w:type="dxa"/>
          </w:tcPr>
          <w:p w14:paraId="54EBF2BF" w14:textId="155D807A" w:rsidR="004B353F" w:rsidRPr="0049623D" w:rsidRDefault="004B353F" w:rsidP="001D0C0A">
            <w:pPr>
              <w:rPr>
                <w:rFonts w:asciiTheme="minorHAnsi" w:hAnsiTheme="minorHAnsi"/>
                <w:bCs/>
                <w:sz w:val="24"/>
              </w:rPr>
            </w:pPr>
            <w:r>
              <w:rPr>
                <w:rFonts w:asciiTheme="minorHAnsi" w:hAnsiTheme="minorHAnsi"/>
                <w:bCs/>
                <w:sz w:val="24"/>
              </w:rPr>
              <w:t>Move away from the fire and contain it by shutting doors or sashes. Notify others and call 911. Pull the fire alarm as well, if available. Evacuate the area.</w:t>
            </w:r>
          </w:p>
        </w:tc>
      </w:tr>
      <w:tr w:rsidR="00E92DB8" w:rsidRPr="0049623D" w14:paraId="0DE2BA25" w14:textId="77777777" w:rsidTr="00E92DB8">
        <w:tc>
          <w:tcPr>
            <w:tcW w:w="1255" w:type="dxa"/>
          </w:tcPr>
          <w:p w14:paraId="68FA0612" w14:textId="71C51942" w:rsidR="00E92DB8" w:rsidRPr="0049623D" w:rsidRDefault="00E92DB8" w:rsidP="00000679">
            <w:pPr>
              <w:rPr>
                <w:rFonts w:asciiTheme="minorHAnsi" w:hAnsiTheme="minorHAnsi"/>
                <w:b/>
                <w:sz w:val="24"/>
              </w:rPr>
            </w:pPr>
            <w:r w:rsidRPr="0049623D">
              <w:rPr>
                <w:rFonts w:asciiTheme="minorHAnsi" w:hAnsiTheme="minorHAnsi"/>
                <w:b/>
                <w:sz w:val="24"/>
              </w:rPr>
              <w:t>Small Spill</w:t>
            </w:r>
          </w:p>
        </w:tc>
        <w:tc>
          <w:tcPr>
            <w:tcW w:w="8100" w:type="dxa"/>
          </w:tcPr>
          <w:p w14:paraId="5AC7D19B" w14:textId="35403130" w:rsidR="00E92DB8" w:rsidRPr="0049623D" w:rsidRDefault="0049623D" w:rsidP="0049623D">
            <w:pPr>
              <w:rPr>
                <w:rFonts w:asciiTheme="minorHAnsi" w:hAnsiTheme="minorHAnsi"/>
                <w:bCs/>
                <w:i/>
                <w:sz w:val="24"/>
                <w:highlight w:val="yellow"/>
              </w:rPr>
            </w:pPr>
            <w:r w:rsidRPr="0049623D">
              <w:rPr>
                <w:rFonts w:asciiTheme="minorHAnsi" w:hAnsiTheme="minorHAnsi"/>
                <w:bCs/>
                <w:i/>
                <w:sz w:val="24"/>
                <w:highlight w:val="yellow"/>
              </w:rPr>
              <w:t>List the maximum amount of spill that your lab is comfortable with and prepared for cleaning up yourselves. Describe your lab-specific response procedures.</w:t>
            </w:r>
          </w:p>
        </w:tc>
      </w:tr>
      <w:tr w:rsidR="00E92DB8" w:rsidRPr="0049623D" w14:paraId="7C48BB99" w14:textId="77777777" w:rsidTr="00E92DB8">
        <w:tc>
          <w:tcPr>
            <w:tcW w:w="1255" w:type="dxa"/>
          </w:tcPr>
          <w:p w14:paraId="4E0BC65A" w14:textId="34F5E56D" w:rsidR="00E92DB8" w:rsidRPr="0049623D" w:rsidRDefault="00E92DB8" w:rsidP="00000679">
            <w:pPr>
              <w:rPr>
                <w:rFonts w:asciiTheme="minorHAnsi" w:hAnsiTheme="minorHAnsi"/>
                <w:b/>
                <w:sz w:val="24"/>
              </w:rPr>
            </w:pPr>
            <w:r w:rsidRPr="0049623D">
              <w:rPr>
                <w:rFonts w:asciiTheme="minorHAnsi" w:hAnsiTheme="minorHAnsi"/>
                <w:b/>
                <w:sz w:val="24"/>
              </w:rPr>
              <w:t>Large Spill</w:t>
            </w:r>
          </w:p>
        </w:tc>
        <w:tc>
          <w:tcPr>
            <w:tcW w:w="8100" w:type="dxa"/>
          </w:tcPr>
          <w:p w14:paraId="34C54B47" w14:textId="79217475" w:rsidR="00E92DB8" w:rsidRPr="0049623D" w:rsidRDefault="004B353F" w:rsidP="00000679">
            <w:pPr>
              <w:rPr>
                <w:rFonts w:asciiTheme="minorHAnsi" w:hAnsiTheme="minorHAnsi"/>
                <w:bCs/>
                <w:sz w:val="24"/>
              </w:rPr>
            </w:pPr>
            <w:r>
              <w:rPr>
                <w:rFonts w:asciiTheme="minorHAnsi" w:hAnsiTheme="minorHAnsi"/>
                <w:bCs/>
                <w:sz w:val="24"/>
              </w:rPr>
              <w:t xml:space="preserve">If the spill is larger than </w:t>
            </w:r>
            <w:r w:rsidRPr="001D0C0A">
              <w:rPr>
                <w:rFonts w:asciiTheme="minorHAnsi" w:hAnsiTheme="minorHAnsi"/>
                <w:bCs/>
                <w:sz w:val="24"/>
                <w:highlight w:val="yellow"/>
              </w:rPr>
              <w:t>XX</w:t>
            </w:r>
            <w:r>
              <w:rPr>
                <w:rFonts w:asciiTheme="minorHAnsi" w:hAnsiTheme="minorHAnsi"/>
                <w:bCs/>
                <w:sz w:val="24"/>
              </w:rPr>
              <w:t xml:space="preserve"> liters, &gt;1 liter in a public area, </w:t>
            </w:r>
            <w:r w:rsidR="001D0C0A">
              <w:rPr>
                <w:rFonts w:asciiTheme="minorHAnsi" w:hAnsiTheme="minorHAnsi"/>
                <w:bCs/>
                <w:sz w:val="24"/>
              </w:rPr>
              <w:t xml:space="preserve">reaches a drain, </w:t>
            </w:r>
            <w:r>
              <w:rPr>
                <w:rFonts w:asciiTheme="minorHAnsi" w:hAnsiTheme="minorHAnsi"/>
                <w:bCs/>
                <w:sz w:val="24"/>
              </w:rPr>
              <w:t xml:space="preserve">or </w:t>
            </w:r>
            <w:r w:rsidR="001D0C0A">
              <w:rPr>
                <w:rFonts w:asciiTheme="minorHAnsi" w:hAnsiTheme="minorHAnsi"/>
                <w:bCs/>
                <w:sz w:val="24"/>
              </w:rPr>
              <w:t xml:space="preserve">is </w:t>
            </w:r>
            <w:r>
              <w:rPr>
                <w:rFonts w:asciiTheme="minorHAnsi" w:hAnsiTheme="minorHAnsi"/>
                <w:bCs/>
                <w:sz w:val="24"/>
              </w:rPr>
              <w:t>a stench chemical, contact DEHS for assistance at (612) 626-6002. Close sashes or doors to isolate the spill and evacuate yourself and others from the area.</w:t>
            </w:r>
          </w:p>
        </w:tc>
      </w:tr>
      <w:tr w:rsidR="00E92DB8" w:rsidRPr="0049623D" w14:paraId="09870B88" w14:textId="77777777" w:rsidTr="00E92DB8">
        <w:tc>
          <w:tcPr>
            <w:tcW w:w="1255" w:type="dxa"/>
          </w:tcPr>
          <w:p w14:paraId="02C18436" w14:textId="1CD20533" w:rsidR="00E92DB8" w:rsidRPr="0049623D" w:rsidRDefault="00E92DB8" w:rsidP="00000679">
            <w:pPr>
              <w:rPr>
                <w:rFonts w:asciiTheme="minorHAnsi" w:hAnsiTheme="minorHAnsi"/>
                <w:b/>
                <w:sz w:val="24"/>
              </w:rPr>
            </w:pPr>
            <w:r w:rsidRPr="0049623D">
              <w:rPr>
                <w:rFonts w:asciiTheme="minorHAnsi" w:hAnsiTheme="minorHAnsi"/>
                <w:b/>
                <w:sz w:val="24"/>
              </w:rPr>
              <w:t>Utility Failure</w:t>
            </w:r>
          </w:p>
        </w:tc>
        <w:tc>
          <w:tcPr>
            <w:tcW w:w="8100" w:type="dxa"/>
          </w:tcPr>
          <w:p w14:paraId="54F9ADA2" w14:textId="016BF064" w:rsidR="00E92DB8" w:rsidRPr="0049623D" w:rsidRDefault="0049623D" w:rsidP="0049623D">
            <w:pPr>
              <w:rPr>
                <w:rFonts w:asciiTheme="minorHAnsi" w:hAnsiTheme="minorHAnsi"/>
                <w:bCs/>
                <w:i/>
                <w:sz w:val="24"/>
              </w:rPr>
            </w:pPr>
            <w:r w:rsidRPr="0049623D">
              <w:rPr>
                <w:rFonts w:asciiTheme="minorHAnsi" w:hAnsiTheme="minorHAnsi"/>
                <w:bCs/>
                <w:i/>
                <w:sz w:val="24"/>
                <w:highlight w:val="yellow"/>
              </w:rPr>
              <w:t>Describe lab-specific procedures related to flammable materials for responding to a power, water, or gas outage.</w:t>
            </w:r>
          </w:p>
        </w:tc>
      </w:tr>
    </w:tbl>
    <w:p w14:paraId="512B1AA2" w14:textId="335CDEFC" w:rsidR="00831008" w:rsidRPr="0049623D" w:rsidRDefault="00831008" w:rsidP="002E0279">
      <w:pPr>
        <w:rPr>
          <w:sz w:val="28"/>
          <w:szCs w:val="32"/>
        </w:rPr>
      </w:pPr>
    </w:p>
    <w:p w14:paraId="0CE33AD9" w14:textId="77777777" w:rsidR="00E92DB8" w:rsidRPr="0049623D" w:rsidRDefault="00E92DB8" w:rsidP="002E0279">
      <w:pPr>
        <w:rPr>
          <w:sz w:val="28"/>
          <w:szCs w:val="32"/>
        </w:rPr>
      </w:pPr>
    </w:p>
    <w:tbl>
      <w:tblPr>
        <w:tblStyle w:val="TableGrid"/>
        <w:tblW w:w="0" w:type="auto"/>
        <w:tblLook w:val="04A0" w:firstRow="1" w:lastRow="0" w:firstColumn="1" w:lastColumn="0" w:noHBand="0" w:noVBand="1"/>
      </w:tblPr>
      <w:tblGrid>
        <w:gridCol w:w="2245"/>
        <w:gridCol w:w="3630"/>
        <w:gridCol w:w="3475"/>
      </w:tblGrid>
      <w:tr w:rsidR="0049623D" w:rsidRPr="0049623D" w14:paraId="068B48DF" w14:textId="77777777" w:rsidTr="006479D1">
        <w:trPr>
          <w:trHeight w:val="260"/>
        </w:trPr>
        <w:tc>
          <w:tcPr>
            <w:tcW w:w="2245" w:type="dxa"/>
            <w:shd w:val="clear" w:color="auto" w:fill="D9D9D9" w:themeFill="background1" w:themeFillShade="D9"/>
            <w:vAlign w:val="center"/>
          </w:tcPr>
          <w:p w14:paraId="156DF8B2" w14:textId="0E3483DB" w:rsidR="0049623D" w:rsidRPr="0049623D" w:rsidRDefault="006479D1" w:rsidP="006479D1">
            <w:pPr>
              <w:jc w:val="center"/>
              <w:rPr>
                <w:rFonts w:asciiTheme="minorHAnsi" w:hAnsiTheme="minorHAnsi"/>
                <w:b/>
                <w:sz w:val="24"/>
              </w:rPr>
            </w:pPr>
            <w:r>
              <w:rPr>
                <w:rFonts w:asciiTheme="minorHAnsi" w:hAnsiTheme="minorHAnsi"/>
                <w:b/>
                <w:sz w:val="24"/>
              </w:rPr>
              <w:t>Route of Exposure</w:t>
            </w:r>
          </w:p>
        </w:tc>
        <w:tc>
          <w:tcPr>
            <w:tcW w:w="3630" w:type="dxa"/>
            <w:shd w:val="clear" w:color="auto" w:fill="D9D9D9" w:themeFill="background1" w:themeFillShade="D9"/>
          </w:tcPr>
          <w:p w14:paraId="36EA88C6" w14:textId="28774152" w:rsidR="0049623D" w:rsidRPr="0049623D" w:rsidRDefault="0049623D" w:rsidP="0049623D">
            <w:pPr>
              <w:jc w:val="center"/>
              <w:rPr>
                <w:rFonts w:asciiTheme="minorHAnsi" w:hAnsiTheme="minorHAnsi"/>
                <w:b/>
                <w:bCs/>
                <w:sz w:val="24"/>
              </w:rPr>
            </w:pPr>
            <w:r w:rsidRPr="0049623D">
              <w:rPr>
                <w:rFonts w:asciiTheme="minorHAnsi" w:hAnsiTheme="minorHAnsi"/>
                <w:b/>
                <w:bCs/>
                <w:sz w:val="24"/>
              </w:rPr>
              <w:t>Signs/Symptoms of Exposure</w:t>
            </w:r>
          </w:p>
        </w:tc>
        <w:tc>
          <w:tcPr>
            <w:tcW w:w="3475" w:type="dxa"/>
            <w:shd w:val="clear" w:color="auto" w:fill="D9D9D9" w:themeFill="background1" w:themeFillShade="D9"/>
          </w:tcPr>
          <w:p w14:paraId="5E8DF20A" w14:textId="0211A402" w:rsidR="0049623D" w:rsidRPr="0049623D" w:rsidRDefault="0049623D" w:rsidP="0049623D">
            <w:pPr>
              <w:jc w:val="center"/>
              <w:rPr>
                <w:rFonts w:asciiTheme="minorHAnsi" w:hAnsiTheme="minorHAnsi"/>
                <w:b/>
                <w:bCs/>
                <w:sz w:val="24"/>
              </w:rPr>
            </w:pPr>
            <w:r w:rsidRPr="0049623D">
              <w:rPr>
                <w:rFonts w:asciiTheme="minorHAnsi" w:hAnsiTheme="minorHAnsi"/>
                <w:b/>
                <w:bCs/>
                <w:sz w:val="24"/>
              </w:rPr>
              <w:t>First Aid/Response</w:t>
            </w:r>
          </w:p>
        </w:tc>
      </w:tr>
      <w:tr w:rsidR="00611334" w:rsidRPr="0049623D" w14:paraId="40AF2536" w14:textId="3335358F" w:rsidTr="006479D1">
        <w:trPr>
          <w:trHeight w:val="260"/>
        </w:trPr>
        <w:tc>
          <w:tcPr>
            <w:tcW w:w="2245" w:type="dxa"/>
            <w:vAlign w:val="center"/>
          </w:tcPr>
          <w:p w14:paraId="6DA81F9E"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Inhalation</w:t>
            </w:r>
          </w:p>
        </w:tc>
        <w:tc>
          <w:tcPr>
            <w:tcW w:w="3630" w:type="dxa"/>
            <w:vAlign w:val="center"/>
          </w:tcPr>
          <w:p w14:paraId="65D1E79B" w14:textId="216F4CBD" w:rsidR="00611334" w:rsidRPr="004B353F" w:rsidRDefault="004B353F" w:rsidP="006479D1">
            <w:pPr>
              <w:jc w:val="center"/>
              <w:rPr>
                <w:rFonts w:asciiTheme="minorHAnsi" w:hAnsiTheme="minorHAnsi"/>
                <w:bCs/>
                <w:sz w:val="24"/>
              </w:rPr>
            </w:pPr>
            <w:r w:rsidRPr="004B353F">
              <w:rPr>
                <w:rFonts w:asciiTheme="minorHAnsi" w:hAnsiTheme="minorHAnsi"/>
                <w:bCs/>
                <w:sz w:val="24"/>
              </w:rPr>
              <w:t>Dizziness, nausea, light-headedness, headache, confusion</w:t>
            </w:r>
          </w:p>
        </w:tc>
        <w:tc>
          <w:tcPr>
            <w:tcW w:w="3475" w:type="dxa"/>
            <w:vAlign w:val="center"/>
          </w:tcPr>
          <w:p w14:paraId="1B548D10" w14:textId="56BB6B8A" w:rsidR="00611334" w:rsidRPr="004B353F" w:rsidRDefault="004B353F" w:rsidP="006479D1">
            <w:pPr>
              <w:jc w:val="center"/>
              <w:rPr>
                <w:rFonts w:asciiTheme="minorHAnsi" w:hAnsiTheme="minorHAnsi"/>
                <w:bCs/>
                <w:sz w:val="24"/>
              </w:rPr>
            </w:pPr>
            <w:r w:rsidRPr="004B353F">
              <w:rPr>
                <w:rFonts w:asciiTheme="minorHAnsi" w:hAnsiTheme="minorHAnsi"/>
                <w:bCs/>
                <w:sz w:val="24"/>
              </w:rPr>
              <w:t>Move person to fresh air. Seek medical attention if symptoms do not improve.</w:t>
            </w:r>
          </w:p>
        </w:tc>
      </w:tr>
      <w:tr w:rsidR="00611334" w:rsidRPr="0049623D" w14:paraId="70AF0E58" w14:textId="15B457B0" w:rsidTr="006479D1">
        <w:tc>
          <w:tcPr>
            <w:tcW w:w="2245" w:type="dxa"/>
            <w:vAlign w:val="center"/>
          </w:tcPr>
          <w:p w14:paraId="1A3364C8"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Eye Absorption/Contact</w:t>
            </w:r>
          </w:p>
        </w:tc>
        <w:tc>
          <w:tcPr>
            <w:tcW w:w="3630" w:type="dxa"/>
            <w:vAlign w:val="center"/>
          </w:tcPr>
          <w:p w14:paraId="40AE102B" w14:textId="65D4675C" w:rsidR="00611334" w:rsidRPr="004B353F" w:rsidRDefault="004B353F" w:rsidP="006479D1">
            <w:pPr>
              <w:jc w:val="center"/>
              <w:rPr>
                <w:rFonts w:asciiTheme="minorHAnsi" w:hAnsiTheme="minorHAnsi"/>
                <w:bCs/>
                <w:sz w:val="24"/>
              </w:rPr>
            </w:pPr>
            <w:r w:rsidRPr="004B353F">
              <w:rPr>
                <w:rFonts w:asciiTheme="minorHAnsi" w:hAnsiTheme="minorHAnsi"/>
                <w:bCs/>
                <w:sz w:val="24"/>
              </w:rPr>
              <w:t>Splashes into eyes, burning, stinging</w:t>
            </w:r>
          </w:p>
        </w:tc>
        <w:tc>
          <w:tcPr>
            <w:tcW w:w="3475" w:type="dxa"/>
            <w:vAlign w:val="center"/>
          </w:tcPr>
          <w:p w14:paraId="4294A93E" w14:textId="34F92A72" w:rsidR="00611334" w:rsidRPr="004B353F" w:rsidRDefault="004B353F" w:rsidP="006479D1">
            <w:pPr>
              <w:jc w:val="center"/>
              <w:rPr>
                <w:rFonts w:asciiTheme="minorHAnsi" w:hAnsiTheme="minorHAnsi"/>
                <w:bCs/>
                <w:sz w:val="24"/>
              </w:rPr>
            </w:pPr>
            <w:r w:rsidRPr="004B353F">
              <w:rPr>
                <w:rFonts w:asciiTheme="minorHAnsi" w:hAnsiTheme="minorHAnsi"/>
                <w:bCs/>
                <w:sz w:val="24"/>
              </w:rPr>
              <w:t>Use emergency eyewash and rinse eyes for a minimum of 15 minutes.</w:t>
            </w:r>
          </w:p>
        </w:tc>
      </w:tr>
      <w:tr w:rsidR="00611334" w:rsidRPr="0049623D" w14:paraId="4027014B" w14:textId="5C2D931A" w:rsidTr="006479D1">
        <w:tc>
          <w:tcPr>
            <w:tcW w:w="2245" w:type="dxa"/>
            <w:vAlign w:val="center"/>
          </w:tcPr>
          <w:p w14:paraId="06C6462D"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Skin Contact</w:t>
            </w:r>
          </w:p>
        </w:tc>
        <w:tc>
          <w:tcPr>
            <w:tcW w:w="3630" w:type="dxa"/>
            <w:vAlign w:val="center"/>
          </w:tcPr>
          <w:p w14:paraId="7F7ED7BA" w14:textId="2137B45F" w:rsidR="00611334" w:rsidRPr="004B353F" w:rsidRDefault="004B353F" w:rsidP="006479D1">
            <w:pPr>
              <w:jc w:val="center"/>
              <w:rPr>
                <w:rFonts w:asciiTheme="minorHAnsi" w:hAnsiTheme="minorHAnsi"/>
                <w:bCs/>
                <w:sz w:val="24"/>
              </w:rPr>
            </w:pPr>
            <w:r w:rsidRPr="004B353F">
              <w:rPr>
                <w:rFonts w:asciiTheme="minorHAnsi" w:hAnsiTheme="minorHAnsi"/>
                <w:bCs/>
                <w:sz w:val="24"/>
              </w:rPr>
              <w:t>Cooling sensation (caused by evaporation of spilled material)</w:t>
            </w:r>
          </w:p>
        </w:tc>
        <w:tc>
          <w:tcPr>
            <w:tcW w:w="3475" w:type="dxa"/>
            <w:vAlign w:val="center"/>
          </w:tcPr>
          <w:p w14:paraId="5B7135A5" w14:textId="2F226CF9" w:rsidR="00611334" w:rsidRPr="004B353F" w:rsidRDefault="004B353F" w:rsidP="006479D1">
            <w:pPr>
              <w:jc w:val="center"/>
              <w:rPr>
                <w:rFonts w:asciiTheme="minorHAnsi" w:hAnsiTheme="minorHAnsi"/>
                <w:bCs/>
                <w:sz w:val="24"/>
              </w:rPr>
            </w:pPr>
            <w:r w:rsidRPr="004B353F">
              <w:rPr>
                <w:rFonts w:asciiTheme="minorHAnsi" w:hAnsiTheme="minorHAnsi"/>
                <w:bCs/>
                <w:sz w:val="24"/>
              </w:rPr>
              <w:t>Remove contaminated gloves or clothing, wash with soap and rinse. If major exposure, use safety shower.</w:t>
            </w:r>
          </w:p>
        </w:tc>
      </w:tr>
      <w:tr w:rsidR="00611334" w:rsidRPr="0049623D" w14:paraId="7F88E6E3" w14:textId="2123D5AF" w:rsidTr="006479D1">
        <w:tc>
          <w:tcPr>
            <w:tcW w:w="2245" w:type="dxa"/>
            <w:vAlign w:val="center"/>
          </w:tcPr>
          <w:p w14:paraId="33696480"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Ingestion</w:t>
            </w:r>
          </w:p>
        </w:tc>
        <w:tc>
          <w:tcPr>
            <w:tcW w:w="3630" w:type="dxa"/>
            <w:vAlign w:val="center"/>
          </w:tcPr>
          <w:p w14:paraId="6D415C90" w14:textId="36ED6328" w:rsidR="00611334" w:rsidRPr="004B353F" w:rsidRDefault="006479D1" w:rsidP="006479D1">
            <w:pPr>
              <w:jc w:val="center"/>
              <w:rPr>
                <w:rFonts w:asciiTheme="minorHAnsi" w:hAnsiTheme="minorHAnsi"/>
                <w:bCs/>
                <w:sz w:val="24"/>
              </w:rPr>
            </w:pPr>
            <w:r>
              <w:rPr>
                <w:rFonts w:asciiTheme="minorHAnsi" w:hAnsiTheme="minorHAnsi"/>
                <w:bCs/>
                <w:sz w:val="24"/>
              </w:rPr>
              <w:t>Ingestion is unlikely in the standard lab setting.</w:t>
            </w:r>
          </w:p>
        </w:tc>
        <w:tc>
          <w:tcPr>
            <w:tcW w:w="3475" w:type="dxa"/>
            <w:vAlign w:val="center"/>
          </w:tcPr>
          <w:p w14:paraId="76C94CC6" w14:textId="4C01B5D2"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r w:rsidR="00611334" w:rsidRPr="0049623D" w14:paraId="7F638297" w14:textId="23933C98" w:rsidTr="006479D1">
        <w:tc>
          <w:tcPr>
            <w:tcW w:w="2245" w:type="dxa"/>
            <w:vAlign w:val="center"/>
          </w:tcPr>
          <w:p w14:paraId="420E85EE"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Injection</w:t>
            </w:r>
          </w:p>
        </w:tc>
        <w:tc>
          <w:tcPr>
            <w:tcW w:w="3630" w:type="dxa"/>
            <w:vAlign w:val="center"/>
          </w:tcPr>
          <w:p w14:paraId="4234D1DA" w14:textId="4D42E020" w:rsidR="00611334" w:rsidRPr="004B353F" w:rsidRDefault="006479D1" w:rsidP="006479D1">
            <w:pPr>
              <w:jc w:val="center"/>
              <w:rPr>
                <w:rFonts w:asciiTheme="minorHAnsi" w:hAnsiTheme="minorHAnsi"/>
                <w:bCs/>
                <w:sz w:val="24"/>
              </w:rPr>
            </w:pPr>
            <w:r>
              <w:rPr>
                <w:rFonts w:asciiTheme="minorHAnsi" w:hAnsiTheme="minorHAnsi"/>
                <w:bCs/>
                <w:sz w:val="24"/>
              </w:rPr>
              <w:t>Injection is unlikely in the standard lab setting.</w:t>
            </w:r>
          </w:p>
        </w:tc>
        <w:tc>
          <w:tcPr>
            <w:tcW w:w="3475" w:type="dxa"/>
            <w:vAlign w:val="center"/>
          </w:tcPr>
          <w:p w14:paraId="62886603" w14:textId="78A90D48"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r w:rsidR="004B353F" w:rsidRPr="0049623D" w14:paraId="6BD10655" w14:textId="77777777" w:rsidTr="006479D1">
        <w:tc>
          <w:tcPr>
            <w:tcW w:w="2245" w:type="dxa"/>
            <w:vAlign w:val="center"/>
          </w:tcPr>
          <w:p w14:paraId="4D34D140" w14:textId="5EC86D7B" w:rsidR="004B353F" w:rsidRPr="004B353F" w:rsidRDefault="004B353F" w:rsidP="006479D1">
            <w:pPr>
              <w:jc w:val="center"/>
              <w:rPr>
                <w:rFonts w:asciiTheme="minorHAnsi" w:hAnsiTheme="minorHAnsi"/>
                <w:b/>
                <w:sz w:val="24"/>
              </w:rPr>
            </w:pPr>
            <w:r w:rsidRPr="004B353F">
              <w:rPr>
                <w:rFonts w:asciiTheme="minorHAnsi" w:hAnsiTheme="minorHAnsi"/>
                <w:b/>
                <w:sz w:val="24"/>
              </w:rPr>
              <w:t>Fire</w:t>
            </w:r>
          </w:p>
        </w:tc>
        <w:tc>
          <w:tcPr>
            <w:tcW w:w="3630" w:type="dxa"/>
            <w:vAlign w:val="center"/>
          </w:tcPr>
          <w:p w14:paraId="7E4C5F49" w14:textId="28A76341" w:rsidR="004B353F" w:rsidRPr="004B353F" w:rsidRDefault="004B353F" w:rsidP="006479D1">
            <w:pPr>
              <w:jc w:val="center"/>
              <w:rPr>
                <w:rFonts w:asciiTheme="minorHAnsi" w:hAnsiTheme="minorHAnsi"/>
                <w:bCs/>
                <w:sz w:val="24"/>
              </w:rPr>
            </w:pPr>
            <w:r w:rsidRPr="004B353F">
              <w:rPr>
                <w:rFonts w:asciiTheme="minorHAnsi" w:hAnsiTheme="minorHAnsi"/>
                <w:bCs/>
                <w:sz w:val="24"/>
              </w:rPr>
              <w:t>Fire involving flammable materials</w:t>
            </w:r>
          </w:p>
        </w:tc>
        <w:tc>
          <w:tcPr>
            <w:tcW w:w="3475" w:type="dxa"/>
            <w:vAlign w:val="center"/>
          </w:tcPr>
          <w:p w14:paraId="52F067F5" w14:textId="56D5ECA8" w:rsidR="004B353F" w:rsidRPr="004B353F" w:rsidRDefault="004B353F" w:rsidP="006479D1">
            <w:pPr>
              <w:jc w:val="center"/>
              <w:rPr>
                <w:rFonts w:asciiTheme="minorHAnsi" w:hAnsiTheme="minorHAnsi"/>
                <w:bCs/>
                <w:sz w:val="24"/>
              </w:rPr>
            </w:pPr>
            <w:r w:rsidRPr="004B353F">
              <w:rPr>
                <w:rFonts w:asciiTheme="minorHAnsi" w:hAnsiTheme="minorHAnsi"/>
                <w:bCs/>
                <w:sz w:val="24"/>
              </w:rPr>
              <w:t>Do not remove charred clothing. Use safety shower if needed. Seek medical attention as soon as possible – call 911 if needed.</w:t>
            </w:r>
          </w:p>
        </w:tc>
      </w:tr>
    </w:tbl>
    <w:p w14:paraId="0DED4F28" w14:textId="77777777" w:rsidR="007E7DDE" w:rsidRPr="00B06264" w:rsidRDefault="007E7DDE" w:rsidP="007E7DDE">
      <w:pPr>
        <w:rPr>
          <w:b/>
          <w:i/>
          <w:color w:val="000000" w:themeColor="text1"/>
          <w:sz w:val="24"/>
          <w:szCs w:val="32"/>
        </w:rPr>
      </w:pPr>
      <w:r w:rsidRPr="00B06264">
        <w:rPr>
          <w:color w:val="000000" w:themeColor="text1"/>
          <w:sz w:val="24"/>
          <w:szCs w:val="32"/>
        </w:rPr>
        <w:t>All fires, injuries, or damage to the facility must be reported to and investigated by DEHS. Injuries which require medical treatment require a First Report of Injury (FROI) to be filed.</w:t>
      </w:r>
    </w:p>
    <w:p w14:paraId="55800831" w14:textId="77777777" w:rsidR="002E0279" w:rsidRDefault="002E0279" w:rsidP="002E0279">
      <w:pPr>
        <w:rPr>
          <w:b/>
          <w:i/>
          <w:sz w:val="28"/>
          <w:szCs w:val="32"/>
        </w:rPr>
      </w:pPr>
      <w:r w:rsidRPr="0049623D">
        <w:rPr>
          <w:b/>
          <w:i/>
          <w:sz w:val="28"/>
          <w:szCs w:val="32"/>
        </w:rPr>
        <w:t>Waste Storage and Disposal</w:t>
      </w:r>
    </w:p>
    <w:p w14:paraId="31AE9FF3" w14:textId="2A89F262" w:rsidR="006479D1" w:rsidRDefault="006479D1" w:rsidP="00D2790C">
      <w:pPr>
        <w:pStyle w:val="ListParagraph"/>
        <w:numPr>
          <w:ilvl w:val="0"/>
          <w:numId w:val="6"/>
        </w:numPr>
        <w:rPr>
          <w:sz w:val="24"/>
          <w:szCs w:val="32"/>
        </w:rPr>
      </w:pPr>
      <w:r>
        <w:rPr>
          <w:sz w:val="24"/>
          <w:szCs w:val="32"/>
        </w:rPr>
        <w:t>Metal or plastic-coated amber bottles are recommended to block light from forming peroxides and for strength and integrity.</w:t>
      </w:r>
    </w:p>
    <w:p w14:paraId="475532C8" w14:textId="09245745" w:rsidR="006479D1" w:rsidRPr="00E96610" w:rsidRDefault="006479D1" w:rsidP="00D2790C">
      <w:pPr>
        <w:pStyle w:val="ListParagraph"/>
        <w:numPr>
          <w:ilvl w:val="0"/>
          <w:numId w:val="6"/>
        </w:numPr>
        <w:rPr>
          <w:sz w:val="24"/>
          <w:szCs w:val="32"/>
        </w:rPr>
      </w:pPr>
      <w:r w:rsidRPr="00E96610">
        <w:rPr>
          <w:sz w:val="24"/>
          <w:szCs w:val="32"/>
        </w:rPr>
        <w:t>Glass containers may not be larger than 1 gallon.</w:t>
      </w:r>
    </w:p>
    <w:p w14:paraId="3820C735" w14:textId="676F3E1C" w:rsidR="00D2790C" w:rsidRPr="00E96610" w:rsidRDefault="00D2790C" w:rsidP="00D2790C">
      <w:pPr>
        <w:pStyle w:val="ListParagraph"/>
        <w:numPr>
          <w:ilvl w:val="0"/>
          <w:numId w:val="6"/>
        </w:numPr>
        <w:rPr>
          <w:sz w:val="24"/>
          <w:szCs w:val="32"/>
        </w:rPr>
      </w:pPr>
      <w:r w:rsidRPr="00E96610">
        <w:rPr>
          <w:sz w:val="24"/>
          <w:szCs w:val="32"/>
        </w:rPr>
        <w:t xml:space="preserve">Often, waste is poured without a funnel or too quickly, so that it washes off the label. Other times, the funnel is left in for convenience and is not closed. To avoid fines for label wash-off and open containers, it is recommended that groups use a flip-top funnel. This fits securely and is considered closed if the lid is down. Another option for the label is to post a log near the waste container indicating </w:t>
      </w:r>
      <w:r w:rsidR="006479D1" w:rsidRPr="00E96610">
        <w:rPr>
          <w:sz w:val="24"/>
          <w:szCs w:val="32"/>
        </w:rPr>
        <w:t>its</w:t>
      </w:r>
      <w:r w:rsidRPr="00E96610">
        <w:rPr>
          <w:sz w:val="24"/>
          <w:szCs w:val="32"/>
        </w:rPr>
        <w:t xml:space="preserve"> contents.</w:t>
      </w:r>
    </w:p>
    <w:p w14:paraId="1F378AED" w14:textId="174A589B" w:rsidR="00D2790C" w:rsidRDefault="00D2790C" w:rsidP="00D2790C">
      <w:pPr>
        <w:pStyle w:val="ListParagraph"/>
        <w:numPr>
          <w:ilvl w:val="0"/>
          <w:numId w:val="6"/>
        </w:numPr>
        <w:rPr>
          <w:sz w:val="24"/>
          <w:szCs w:val="32"/>
        </w:rPr>
      </w:pPr>
      <w:r>
        <w:rPr>
          <w:sz w:val="24"/>
          <w:szCs w:val="32"/>
        </w:rPr>
        <w:t xml:space="preserve">Equipment is often rinsed with flammables before oven drying. Dirty equipment should be washed before using. See “Cleaning Glassware” fact sheet at </w:t>
      </w:r>
      <w:hyperlink r:id="rId9" w:history="1">
        <w:r w:rsidRPr="00CA0550">
          <w:rPr>
            <w:rStyle w:val="Hyperlink"/>
            <w:sz w:val="24"/>
            <w:szCs w:val="32"/>
          </w:rPr>
          <w:t>www.z.umn.edu/safetyfactsheets</w:t>
        </w:r>
      </w:hyperlink>
      <w:r>
        <w:rPr>
          <w:sz w:val="24"/>
          <w:szCs w:val="32"/>
        </w:rPr>
        <w:t xml:space="preserve"> for a discussion of decontamination. Small amounts can be wiped up with a sorbent. These contaminated wipes should be collected in a hazardous waste container.</w:t>
      </w:r>
    </w:p>
    <w:p w14:paraId="7134F28F" w14:textId="07EA8D11" w:rsidR="00D2790C" w:rsidRDefault="00D2790C" w:rsidP="00D2790C">
      <w:pPr>
        <w:pStyle w:val="ListParagraph"/>
        <w:numPr>
          <w:ilvl w:val="0"/>
          <w:numId w:val="6"/>
        </w:numPr>
        <w:rPr>
          <w:sz w:val="24"/>
          <w:szCs w:val="32"/>
        </w:rPr>
      </w:pPr>
      <w:r>
        <w:rPr>
          <w:sz w:val="24"/>
          <w:szCs w:val="32"/>
        </w:rPr>
        <w:t xml:space="preserve">Waste bottles of flammable materials should be kept in flammable storage containers, unless in use or </w:t>
      </w:r>
      <w:r w:rsidR="005F2D72">
        <w:rPr>
          <w:sz w:val="24"/>
          <w:szCs w:val="32"/>
        </w:rPr>
        <w:t>a pickup request has been made.</w:t>
      </w:r>
    </w:p>
    <w:p w14:paraId="1A35E124" w14:textId="5DB4B778" w:rsidR="00D2790C" w:rsidRDefault="00D2790C" w:rsidP="00D2790C">
      <w:pPr>
        <w:pStyle w:val="ListParagraph"/>
        <w:numPr>
          <w:ilvl w:val="0"/>
          <w:numId w:val="6"/>
        </w:numPr>
        <w:rPr>
          <w:sz w:val="24"/>
          <w:szCs w:val="32"/>
        </w:rPr>
      </w:pPr>
      <w:r>
        <w:rPr>
          <w:sz w:val="24"/>
          <w:szCs w:val="32"/>
        </w:rPr>
        <w:t>Hazardous waste containers of flammable materials are subject to the same container size and total volume limits as all flammables.</w:t>
      </w:r>
    </w:p>
    <w:p w14:paraId="6D7B2914" w14:textId="1617999E" w:rsidR="00786837" w:rsidRPr="00786837" w:rsidRDefault="00786837" w:rsidP="00A20A6B">
      <w:pPr>
        <w:pStyle w:val="ListParagraph"/>
        <w:numPr>
          <w:ilvl w:val="0"/>
          <w:numId w:val="6"/>
        </w:numPr>
        <w:rPr>
          <w:sz w:val="24"/>
          <w:szCs w:val="32"/>
        </w:rPr>
      </w:pPr>
      <w:r w:rsidRPr="00786837">
        <w:rPr>
          <w:sz w:val="24"/>
          <w:szCs w:val="32"/>
        </w:rPr>
        <w:t xml:space="preserve">More information on hazardous waste procedures and pick-up can be found here: </w:t>
      </w:r>
      <w:hyperlink r:id="rId10" w:history="1">
        <w:r w:rsidRPr="00786837">
          <w:rPr>
            <w:rStyle w:val="Hyperlink"/>
            <w:sz w:val="24"/>
            <w:szCs w:val="32"/>
          </w:rPr>
          <w:t>www.z.umn.edu/hazwaste</w:t>
        </w:r>
      </w:hyperlink>
    </w:p>
    <w:p w14:paraId="717C07BF" w14:textId="7789B6C5" w:rsidR="00E92DB8" w:rsidRPr="006479D1" w:rsidRDefault="00E92DB8" w:rsidP="002E0279">
      <w:pPr>
        <w:rPr>
          <w:sz w:val="24"/>
          <w:szCs w:val="32"/>
        </w:rPr>
      </w:pPr>
      <w:r w:rsidRPr="006479D1">
        <w:rPr>
          <w:sz w:val="24"/>
          <w:szCs w:val="32"/>
        </w:rPr>
        <w:t xml:space="preserve">In </w:t>
      </w:r>
      <w:r w:rsidR="000F68E3">
        <w:rPr>
          <w:sz w:val="24"/>
          <w:szCs w:val="32"/>
        </w:rPr>
        <w:t xml:space="preserve">the </w:t>
      </w:r>
      <w:r w:rsidR="000F68E3" w:rsidRPr="000F68E3">
        <w:rPr>
          <w:sz w:val="24"/>
          <w:szCs w:val="32"/>
          <w:highlight w:val="yellow"/>
        </w:rPr>
        <w:t>Cooper lab</w:t>
      </w:r>
      <w:r w:rsidRPr="006479D1">
        <w:rPr>
          <w:sz w:val="24"/>
          <w:szCs w:val="32"/>
        </w:rPr>
        <w:t xml:space="preserve">, hazardous waste is stored: </w:t>
      </w:r>
      <w:r w:rsidR="006479D1" w:rsidRPr="006479D1">
        <w:rPr>
          <w:i/>
          <w:sz w:val="24"/>
          <w:szCs w:val="32"/>
          <w:highlight w:val="yellow"/>
        </w:rPr>
        <w:t>list the location of your hazardous waste storage area(s).</w:t>
      </w:r>
    </w:p>
    <w:p w14:paraId="45CECB87" w14:textId="630A2D1E" w:rsidR="008E781E" w:rsidRPr="0049623D" w:rsidRDefault="008E781E" w:rsidP="00232677">
      <w:pPr>
        <w:rPr>
          <w:b/>
          <w:i/>
          <w:sz w:val="28"/>
          <w:szCs w:val="32"/>
        </w:rPr>
      </w:pPr>
    </w:p>
    <w:sectPr w:rsidR="008E781E" w:rsidRPr="0049623D" w:rsidSect="00093584">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D1FE7" w14:textId="77777777" w:rsidR="00093584" w:rsidRDefault="00093584" w:rsidP="00093584">
      <w:pPr>
        <w:spacing w:after="0" w:line="240" w:lineRule="auto"/>
      </w:pPr>
      <w:r>
        <w:separator/>
      </w:r>
    </w:p>
  </w:endnote>
  <w:endnote w:type="continuationSeparator" w:id="0">
    <w:p w14:paraId="2AE10F62" w14:textId="77777777" w:rsidR="00093584" w:rsidRDefault="00093584" w:rsidP="0009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81C3" w14:textId="21751EA8" w:rsidR="00B02426" w:rsidRDefault="00B02426">
    <w:pPr>
      <w:pStyle w:val="Footer"/>
    </w:pPr>
    <w:r>
      <w:t>Flammables</w:t>
    </w:r>
    <w:r>
      <w:t xml:space="preserve"> SOP template 2019 11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2C477" w14:textId="77777777" w:rsidR="00093584" w:rsidRDefault="00093584" w:rsidP="00093584">
      <w:pPr>
        <w:spacing w:after="0" w:line="240" w:lineRule="auto"/>
      </w:pPr>
      <w:r>
        <w:separator/>
      </w:r>
    </w:p>
  </w:footnote>
  <w:footnote w:type="continuationSeparator" w:id="0">
    <w:p w14:paraId="3FEC75E3" w14:textId="77777777" w:rsidR="00093584" w:rsidRDefault="00093584" w:rsidP="0009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CEC0" w14:textId="2F461174" w:rsidR="00093584" w:rsidRDefault="00093584">
    <w:pPr>
      <w:pStyle w:val="Header"/>
    </w:pPr>
    <w:r w:rsidRPr="00093584">
      <w:rPr>
        <w:rFonts w:ascii="Times New Roman" w:eastAsia="Calibri" w:hAnsi="Times New Roman" w:cs="Times New Roman"/>
        <w:noProof/>
        <w:sz w:val="24"/>
        <w:szCs w:val="24"/>
      </w:rPr>
      <w:drawing>
        <wp:anchor distT="0" distB="0" distL="114300" distR="114300" simplePos="0" relativeHeight="251741184" behindDoc="0" locked="0" layoutInCell="1" allowOverlap="1" wp14:anchorId="074DBCBE" wp14:editId="074CDD59">
          <wp:simplePos x="0" y="0"/>
          <wp:positionH relativeFrom="column">
            <wp:posOffset>5483860</wp:posOffset>
          </wp:positionH>
          <wp:positionV relativeFrom="paragraph">
            <wp:posOffset>-239395</wp:posOffset>
          </wp:positionV>
          <wp:extent cx="930910" cy="502285"/>
          <wp:effectExtent l="0" t="0" r="2540" b="0"/>
          <wp:wrapNone/>
          <wp:docPr id="44" name="Picture 3" descr="M2ou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ou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502285"/>
                  </a:xfrm>
                  <a:prstGeom prst="rect">
                    <a:avLst/>
                  </a:prstGeom>
                  <a:noFill/>
                </pic:spPr>
              </pic:pic>
            </a:graphicData>
          </a:graphic>
          <wp14:sizeRelH relativeFrom="page">
            <wp14:pctWidth>0</wp14:pctWidth>
          </wp14:sizeRelH>
          <wp14:sizeRelV relativeFrom="page">
            <wp14:pctHeight>0</wp14:pctHeight>
          </wp14:sizeRelV>
        </wp:anchor>
      </w:drawing>
    </w:r>
    <w:r w:rsidRPr="00093584">
      <w:rPr>
        <w:rFonts w:ascii="Times New Roman" w:eastAsia="Calibri" w:hAnsi="Times New Roman" w:cs="Times New Roman"/>
        <w:noProof/>
        <w:sz w:val="24"/>
        <w:szCs w:val="24"/>
      </w:rPr>
      <mc:AlternateContent>
        <mc:Choice Requires="wps">
          <w:drawing>
            <wp:anchor distT="0" distB="0" distL="114300" distR="114300" simplePos="0" relativeHeight="251685888" behindDoc="0" locked="0" layoutInCell="1" allowOverlap="1" wp14:anchorId="7575FC94" wp14:editId="300D3F94">
              <wp:simplePos x="0" y="0"/>
              <wp:positionH relativeFrom="column">
                <wp:posOffset>-403225</wp:posOffset>
              </wp:positionH>
              <wp:positionV relativeFrom="paragraph">
                <wp:posOffset>-165100</wp:posOffset>
              </wp:positionV>
              <wp:extent cx="2927350" cy="356235"/>
              <wp:effectExtent l="0" t="0" r="0" b="0"/>
              <wp:wrapNone/>
              <wp:docPr id="22" name="TextBox 4"/>
              <wp:cNvGraphicFramePr/>
              <a:graphic xmlns:a="http://schemas.openxmlformats.org/drawingml/2006/main">
                <a:graphicData uri="http://schemas.microsoft.com/office/word/2010/wordprocessingShape">
                  <wps:wsp>
                    <wps:cNvSpPr txBox="1"/>
                    <wps:spPr>
                      <a:xfrm>
                        <a:off x="0" y="0"/>
                        <a:ext cx="2927350" cy="356235"/>
                      </a:xfrm>
                      <a:prstGeom prst="rect">
                        <a:avLst/>
                      </a:prstGeom>
                      <a:noFill/>
                    </wps:spPr>
                    <wps:txbx>
                      <w:txbxContent>
                        <w:p w14:paraId="4003C644" w14:textId="77777777" w:rsidR="00093584" w:rsidRDefault="00093584" w:rsidP="00093584">
                          <w:pPr>
                            <w:pStyle w:val="NormalWeb"/>
                            <w:spacing w:after="0"/>
                          </w:pPr>
                          <w:r>
                            <w:rPr>
                              <w:rFonts w:ascii="Gill Sans MT" w:eastAsia="Malgun Gothic" w:hAnsi="Gill Sans MT" w:cs="Lucida Sans Unicode"/>
                              <w:color w:val="7A0019"/>
                              <w:kern w:val="24"/>
                              <w:sz w:val="36"/>
                              <w:szCs w:val="36"/>
                            </w:rPr>
                            <w:t>University Health and Safety</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7575FC94" id="_x0000_t202" coordsize="21600,21600" o:spt="202" path="m,l,21600r21600,l21600,xe">
              <v:stroke joinstyle="miter"/>
              <v:path gradientshapeok="t" o:connecttype="rect"/>
            </v:shapetype>
            <v:shape id="TextBox 4" o:spid="_x0000_s1026" type="#_x0000_t202" style="position:absolute;margin-left:-31.75pt;margin-top:-13pt;width:230.5pt;height: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" filled="f" stroked="f">
              <v:textbox>
                <w:txbxContent>
                  <w:p w14:paraId="4003C644" w14:textId="77777777" w:rsidR="00093584" w:rsidRDefault="00093584" w:rsidP="00093584">
                    <w:pPr>
                      <w:pStyle w:val="NormalWeb"/>
                      <w:spacing w:after="0"/>
                    </w:pPr>
                    <w:r>
                      <w:rPr>
                        <w:rFonts w:ascii="Gill Sans MT" w:eastAsia="Malgun Gothic" w:hAnsi="Gill Sans MT" w:cs="Lucida Sans Unicode"/>
                        <w:color w:val="7A0019"/>
                        <w:kern w:val="24"/>
                        <w:sz w:val="36"/>
                        <w:szCs w:val="36"/>
                      </w:rPr>
                      <w:t>University Health and Safety</w:t>
                    </w:r>
                  </w:p>
                </w:txbxContent>
              </v:textbox>
            </v:shape>
          </w:pict>
        </mc:Fallback>
      </mc:AlternateContent>
    </w:r>
    <w:r w:rsidRPr="00093584">
      <w:rPr>
        <w:rFonts w:ascii="Times New Roman" w:eastAsia="Calibri" w:hAnsi="Times New Roman" w:cs="Times New Roman"/>
        <w:noProof/>
        <w:sz w:val="24"/>
        <w:szCs w:val="24"/>
      </w:rPr>
      <mc:AlternateContent>
        <mc:Choice Requires="wps">
          <w:drawing>
            <wp:anchor distT="0" distB="0" distL="114300" distR="114300" simplePos="0" relativeHeight="251628544" behindDoc="0" locked="0" layoutInCell="1" allowOverlap="1" wp14:anchorId="21635DBA" wp14:editId="3F2400EC">
              <wp:simplePos x="0" y="0"/>
              <wp:positionH relativeFrom="column">
                <wp:posOffset>-419100</wp:posOffset>
              </wp:positionH>
              <wp:positionV relativeFrom="paragraph">
                <wp:posOffset>-285750</wp:posOffset>
              </wp:positionV>
              <wp:extent cx="6962775" cy="585470"/>
              <wp:effectExtent l="0" t="0" r="9525" b="5080"/>
              <wp:wrapNone/>
              <wp:docPr id="23" name="Rectangle 3"/>
              <wp:cNvGraphicFramePr/>
              <a:graphic xmlns:a="http://schemas.openxmlformats.org/drawingml/2006/main">
                <a:graphicData uri="http://schemas.microsoft.com/office/word/2010/wordprocessingShape">
                  <wps:wsp>
                    <wps:cNvSpPr/>
                    <wps:spPr>
                      <a:xfrm>
                        <a:off x="0" y="0"/>
                        <a:ext cx="6962775" cy="585470"/>
                      </a:xfrm>
                      <a:prstGeom prst="rect">
                        <a:avLst/>
                      </a:prstGeom>
                      <a:solidFill>
                        <a:srgbClr val="FFCC33"/>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1093AA0D" id="Rectangle 3" o:spid="_x0000_s1026" style="position:absolute;margin-left:-33pt;margin-top:-22.5pt;width:548.25pt;height:46.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" fillcolor="#fc3"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ABA"/>
    <w:multiLevelType w:val="hybridMultilevel"/>
    <w:tmpl w:val="7772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05BC"/>
    <w:multiLevelType w:val="hybridMultilevel"/>
    <w:tmpl w:val="AAA6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518A"/>
    <w:multiLevelType w:val="hybridMultilevel"/>
    <w:tmpl w:val="23C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1710"/>
    <w:multiLevelType w:val="hybridMultilevel"/>
    <w:tmpl w:val="FB9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47221"/>
    <w:multiLevelType w:val="hybridMultilevel"/>
    <w:tmpl w:val="7C2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2783E"/>
    <w:multiLevelType w:val="hybridMultilevel"/>
    <w:tmpl w:val="74F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E2A75"/>
    <w:multiLevelType w:val="hybridMultilevel"/>
    <w:tmpl w:val="CDD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9"/>
    <w:rsid w:val="00017E99"/>
    <w:rsid w:val="00093584"/>
    <w:rsid w:val="000F68E3"/>
    <w:rsid w:val="001412C5"/>
    <w:rsid w:val="00177CBA"/>
    <w:rsid w:val="001D0C0A"/>
    <w:rsid w:val="001E7383"/>
    <w:rsid w:val="001F428F"/>
    <w:rsid w:val="00232677"/>
    <w:rsid w:val="00252EDC"/>
    <w:rsid w:val="00293378"/>
    <w:rsid w:val="002C6D92"/>
    <w:rsid w:val="002E0279"/>
    <w:rsid w:val="002F0E15"/>
    <w:rsid w:val="003813B9"/>
    <w:rsid w:val="00397EEE"/>
    <w:rsid w:val="003F2D91"/>
    <w:rsid w:val="0049623D"/>
    <w:rsid w:val="004B353F"/>
    <w:rsid w:val="004D1643"/>
    <w:rsid w:val="005F2D72"/>
    <w:rsid w:val="00611334"/>
    <w:rsid w:val="006169CD"/>
    <w:rsid w:val="006364E9"/>
    <w:rsid w:val="006479D1"/>
    <w:rsid w:val="00667D9F"/>
    <w:rsid w:val="0067480E"/>
    <w:rsid w:val="006C1500"/>
    <w:rsid w:val="00717199"/>
    <w:rsid w:val="007254F5"/>
    <w:rsid w:val="007653BB"/>
    <w:rsid w:val="00786837"/>
    <w:rsid w:val="007E7DDE"/>
    <w:rsid w:val="00831008"/>
    <w:rsid w:val="00841159"/>
    <w:rsid w:val="00867E3B"/>
    <w:rsid w:val="008E781E"/>
    <w:rsid w:val="008F4DC6"/>
    <w:rsid w:val="00936C50"/>
    <w:rsid w:val="009617BE"/>
    <w:rsid w:val="009A29FB"/>
    <w:rsid w:val="009A3533"/>
    <w:rsid w:val="009E098C"/>
    <w:rsid w:val="009E72C5"/>
    <w:rsid w:val="009F2A4D"/>
    <w:rsid w:val="00A0306A"/>
    <w:rsid w:val="00A066DD"/>
    <w:rsid w:val="00A15AB8"/>
    <w:rsid w:val="00A74595"/>
    <w:rsid w:val="00AA5F92"/>
    <w:rsid w:val="00B02426"/>
    <w:rsid w:val="00B03D87"/>
    <w:rsid w:val="00B06264"/>
    <w:rsid w:val="00B07B8F"/>
    <w:rsid w:val="00C601C8"/>
    <w:rsid w:val="00CA35D8"/>
    <w:rsid w:val="00CB1636"/>
    <w:rsid w:val="00D2790C"/>
    <w:rsid w:val="00DA3A81"/>
    <w:rsid w:val="00DE4F39"/>
    <w:rsid w:val="00E02EC2"/>
    <w:rsid w:val="00E11DB9"/>
    <w:rsid w:val="00E92DB8"/>
    <w:rsid w:val="00E96610"/>
    <w:rsid w:val="00EA148D"/>
    <w:rsid w:val="00ED4836"/>
    <w:rsid w:val="00F043C1"/>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A442A"/>
  <w15:docId w15:val="{67D04FBA-34A0-49AD-91A7-56610515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2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EDC"/>
    <w:rPr>
      <w:sz w:val="16"/>
      <w:szCs w:val="16"/>
    </w:rPr>
  </w:style>
  <w:style w:type="paragraph" w:styleId="CommentText">
    <w:name w:val="annotation text"/>
    <w:basedOn w:val="Normal"/>
    <w:link w:val="CommentTextChar"/>
    <w:uiPriority w:val="99"/>
    <w:semiHidden/>
    <w:unhideWhenUsed/>
    <w:rsid w:val="00252EDC"/>
    <w:pPr>
      <w:spacing w:line="240" w:lineRule="auto"/>
    </w:pPr>
    <w:rPr>
      <w:sz w:val="20"/>
      <w:szCs w:val="20"/>
    </w:rPr>
  </w:style>
  <w:style w:type="character" w:customStyle="1" w:styleId="CommentTextChar">
    <w:name w:val="Comment Text Char"/>
    <w:basedOn w:val="DefaultParagraphFont"/>
    <w:link w:val="CommentText"/>
    <w:uiPriority w:val="99"/>
    <w:semiHidden/>
    <w:rsid w:val="00252EDC"/>
    <w:rPr>
      <w:sz w:val="20"/>
      <w:szCs w:val="20"/>
    </w:rPr>
  </w:style>
  <w:style w:type="paragraph" w:styleId="CommentSubject">
    <w:name w:val="annotation subject"/>
    <w:basedOn w:val="CommentText"/>
    <w:next w:val="CommentText"/>
    <w:link w:val="CommentSubjectChar"/>
    <w:uiPriority w:val="99"/>
    <w:semiHidden/>
    <w:unhideWhenUsed/>
    <w:rsid w:val="00252EDC"/>
    <w:rPr>
      <w:b/>
      <w:bCs/>
    </w:rPr>
  </w:style>
  <w:style w:type="character" w:customStyle="1" w:styleId="CommentSubjectChar">
    <w:name w:val="Comment Subject Char"/>
    <w:basedOn w:val="CommentTextChar"/>
    <w:link w:val="CommentSubject"/>
    <w:uiPriority w:val="99"/>
    <w:semiHidden/>
    <w:rsid w:val="00252EDC"/>
    <w:rPr>
      <w:b/>
      <w:bCs/>
      <w:sz w:val="20"/>
      <w:szCs w:val="20"/>
    </w:rPr>
  </w:style>
  <w:style w:type="paragraph" w:styleId="BalloonText">
    <w:name w:val="Balloon Text"/>
    <w:basedOn w:val="Normal"/>
    <w:link w:val="BalloonTextChar"/>
    <w:uiPriority w:val="99"/>
    <w:semiHidden/>
    <w:unhideWhenUsed/>
    <w:rsid w:val="0025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DC"/>
    <w:rPr>
      <w:rFonts w:ascii="Segoe UI" w:hAnsi="Segoe UI" w:cs="Segoe UI"/>
      <w:sz w:val="18"/>
      <w:szCs w:val="18"/>
    </w:rPr>
  </w:style>
  <w:style w:type="paragraph" w:styleId="ListParagraph">
    <w:name w:val="List Paragraph"/>
    <w:basedOn w:val="Normal"/>
    <w:uiPriority w:val="34"/>
    <w:qFormat/>
    <w:rsid w:val="00252EDC"/>
    <w:pPr>
      <w:ind w:left="720"/>
      <w:contextualSpacing/>
    </w:pPr>
  </w:style>
  <w:style w:type="character" w:styleId="Hyperlink">
    <w:name w:val="Hyperlink"/>
    <w:basedOn w:val="DefaultParagraphFont"/>
    <w:uiPriority w:val="99"/>
    <w:unhideWhenUsed/>
    <w:rsid w:val="00D2790C"/>
    <w:rPr>
      <w:color w:val="0563C1" w:themeColor="hyperlink"/>
      <w:u w:val="single"/>
    </w:rPr>
  </w:style>
  <w:style w:type="paragraph" w:styleId="Revision">
    <w:name w:val="Revision"/>
    <w:hidden/>
    <w:uiPriority w:val="99"/>
    <w:semiHidden/>
    <w:rsid w:val="009617BE"/>
    <w:pPr>
      <w:spacing w:after="0" w:line="240" w:lineRule="auto"/>
    </w:pPr>
  </w:style>
  <w:style w:type="paragraph" w:styleId="Header">
    <w:name w:val="header"/>
    <w:basedOn w:val="Normal"/>
    <w:link w:val="HeaderChar"/>
    <w:uiPriority w:val="99"/>
    <w:unhideWhenUsed/>
    <w:rsid w:val="0009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84"/>
  </w:style>
  <w:style w:type="paragraph" w:styleId="Footer">
    <w:name w:val="footer"/>
    <w:basedOn w:val="Normal"/>
    <w:link w:val="FooterChar"/>
    <w:uiPriority w:val="99"/>
    <w:unhideWhenUsed/>
    <w:rsid w:val="0009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84"/>
  </w:style>
  <w:style w:type="paragraph" w:styleId="NormalWeb">
    <w:name w:val="Normal (Web)"/>
    <w:basedOn w:val="Normal"/>
    <w:uiPriority w:val="99"/>
    <w:semiHidden/>
    <w:unhideWhenUsed/>
    <w:rsid w:val="000935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4957">
      <w:bodyDiv w:val="1"/>
      <w:marLeft w:val="0"/>
      <w:marRight w:val="0"/>
      <w:marTop w:val="0"/>
      <w:marBottom w:val="0"/>
      <w:divBdr>
        <w:top w:val="none" w:sz="0" w:space="0" w:color="auto"/>
        <w:left w:val="none" w:sz="0" w:space="0" w:color="auto"/>
        <w:bottom w:val="none" w:sz="0" w:space="0" w:color="auto"/>
        <w:right w:val="none" w:sz="0" w:space="0" w:color="auto"/>
      </w:divBdr>
    </w:div>
    <w:div w:id="17072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mn.edu/safetyfactshe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files.umn.edu\us\uhs\UHS%20All\Lab%20&amp;%20Research%20Safety\7%20Projects\SOP%20Templates\www.z.umn.edu\hazwaste" TargetMode="External"/><Relationship Id="rId4" Type="http://schemas.openxmlformats.org/officeDocument/2006/relationships/webSettings" Target="webSettings.xml"/><Relationship Id="rId9" Type="http://schemas.openxmlformats.org/officeDocument/2006/relationships/hyperlink" Target="http://www.z.umn.edu/safetyfactshe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Greenberg</dc:creator>
  <cp:lastModifiedBy>Joseph W Klancher</cp:lastModifiedBy>
  <cp:revision>9</cp:revision>
  <cp:lastPrinted>2017-01-31T15:29:00Z</cp:lastPrinted>
  <dcterms:created xsi:type="dcterms:W3CDTF">2019-05-31T18:09:00Z</dcterms:created>
  <dcterms:modified xsi:type="dcterms:W3CDTF">2019-11-21T22:47:00Z</dcterms:modified>
</cp:coreProperties>
</file>